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F528">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成都市龙泉驿区中医医院电子鼻咽喉镜维保服务采购项目</w:t>
      </w:r>
      <w:r>
        <w:rPr>
          <w:rFonts w:hint="eastAsia" w:ascii="Times New Roman" w:hAnsi="Times New Roman" w:eastAsia="方正小标宋_GBK" w:cs="Times New Roman"/>
          <w:bCs/>
          <w:sz w:val="44"/>
          <w:szCs w:val="44"/>
          <w:lang w:eastAsia="zh-CN"/>
        </w:rPr>
        <w:t>（第二次）</w:t>
      </w:r>
      <w:r>
        <w:rPr>
          <w:rFonts w:ascii="Times New Roman" w:hAnsi="Times New Roman" w:eastAsia="方正小标宋_GBK" w:cs="Times New Roman"/>
          <w:bCs/>
          <w:sz w:val="44"/>
          <w:szCs w:val="44"/>
        </w:rPr>
        <w:t>比选</w:t>
      </w:r>
      <w:bookmarkStart w:id="0" w:name="_GoBack"/>
      <w:bookmarkEnd w:id="0"/>
      <w:r>
        <w:rPr>
          <w:rFonts w:ascii="Times New Roman" w:hAnsi="Times New Roman" w:eastAsia="方正小标宋_GBK" w:cs="Times New Roman"/>
          <w:bCs/>
          <w:sz w:val="44"/>
          <w:szCs w:val="44"/>
        </w:rPr>
        <w:t>文件</w:t>
      </w:r>
    </w:p>
    <w:p w14:paraId="17460837">
      <w:pPr>
        <w:spacing w:line="360" w:lineRule="auto"/>
        <w:jc w:val="center"/>
        <w:rPr>
          <w:rFonts w:hint="eastAsia" w:ascii="Times New Roman" w:hAnsi="Times New Roman" w:eastAsia="宋体" w:cs="Times New Roman"/>
          <w:b/>
          <w:sz w:val="28"/>
          <w:szCs w:val="28"/>
          <w:lang w:val="en-US" w:eastAsia="zh-CN"/>
        </w:rPr>
      </w:pPr>
    </w:p>
    <w:p w14:paraId="72F778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w:t>
      </w:r>
      <w:r>
        <w:rPr>
          <w:rFonts w:hint="eastAsia" w:ascii="Times New Roman" w:hAnsi="Times New Roman" w:cs="Times New Roman"/>
          <w:b/>
          <w:sz w:val="28"/>
          <w:szCs w:val="28"/>
        </w:rPr>
        <w:t xml:space="preserve">  </w:t>
      </w:r>
      <w:r>
        <w:rPr>
          <w:rFonts w:ascii="Times New Roman" w:hAnsi="Times New Roman" w:cs="Times New Roman"/>
          <w:b/>
          <w:sz w:val="28"/>
          <w:szCs w:val="28"/>
        </w:rPr>
        <w:t>比选要求</w:t>
      </w:r>
    </w:p>
    <w:p w14:paraId="2AAB4F68">
      <w:pPr>
        <w:spacing w:line="360" w:lineRule="auto"/>
        <w:ind w:firstLine="562" w:firstLineChars="200"/>
        <w:jc w:val="left"/>
        <w:rPr>
          <w:rFonts w:ascii="Times New Roman" w:hAnsi="Times New Roman" w:cs="Times New Roman"/>
          <w:sz w:val="28"/>
          <w:szCs w:val="28"/>
        </w:rPr>
      </w:pPr>
      <w:r>
        <w:rPr>
          <w:rFonts w:ascii="Times New Roman" w:hAnsi="Times New Roman" w:cs="Times New Roman"/>
          <w:b/>
          <w:bCs/>
          <w:sz w:val="28"/>
          <w:szCs w:val="28"/>
        </w:rPr>
        <w:t>一、项目概况</w:t>
      </w:r>
    </w:p>
    <w:p w14:paraId="4F74A1B1">
      <w:pPr>
        <w:spacing w:line="578"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1.根据业务需要采购</w:t>
      </w:r>
      <w:r>
        <w:rPr>
          <w:rFonts w:hint="eastAsia" w:ascii="Times New Roman" w:hAnsi="Times New Roman" w:eastAsia="方正仿宋_GBK" w:cs="Times New Roman"/>
          <w:sz w:val="28"/>
          <w:szCs w:val="28"/>
        </w:rPr>
        <w:t>电子鼻咽喉镜维保服务</w:t>
      </w:r>
      <w:r>
        <w:rPr>
          <w:rFonts w:ascii="Times New Roman" w:hAnsi="Times New Roman" w:eastAsia="方正仿宋_GBK" w:cs="Times New Roman"/>
          <w:sz w:val="28"/>
          <w:szCs w:val="28"/>
        </w:rPr>
        <w:t>。</w:t>
      </w:r>
    </w:p>
    <w:p w14:paraId="6EDFABAD">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2.项目预算：</w:t>
      </w:r>
      <w:r>
        <w:rPr>
          <w:rFonts w:hint="eastAsia" w:ascii="Times New Roman" w:hAnsi="Times New Roman" w:eastAsia="方正仿宋_GBK" w:cs="Times New Roman"/>
          <w:sz w:val="28"/>
          <w:szCs w:val="28"/>
          <w:lang w:val="en-US" w:eastAsia="zh-CN"/>
        </w:rPr>
        <w:t>3.2</w:t>
      </w:r>
      <w:r>
        <w:rPr>
          <w:rFonts w:hint="eastAsia" w:ascii="Times New Roman" w:hAnsi="Times New Roman" w:eastAsia="方正仿宋_GBK" w:cs="Times New Roman"/>
          <w:sz w:val="28"/>
          <w:szCs w:val="28"/>
        </w:rPr>
        <w:t>万</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/年</w:t>
      </w:r>
      <w:r>
        <w:rPr>
          <w:rFonts w:ascii="Times New Roman" w:hAnsi="Times New Roman" w:eastAsia="方正仿宋_GBK" w:cs="Times New Roman"/>
          <w:sz w:val="28"/>
          <w:szCs w:val="28"/>
        </w:rPr>
        <w:t>。</w:t>
      </w:r>
    </w:p>
    <w:p w14:paraId="46DBD3BA">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3.服务期限：</w:t>
      </w:r>
      <w:r>
        <w:rPr>
          <w:rFonts w:hint="eastAsia" w:ascii="Times New Roman" w:hAnsi="Times New Roman" w:eastAsia="方正仿宋_GBK" w:cs="Times New Roman"/>
          <w:sz w:val="28"/>
          <w:szCs w:val="28"/>
          <w:lang w:val="en-US" w:eastAsia="zh-CN"/>
        </w:rPr>
        <w:t>3年,合同一年一签</w:t>
      </w:r>
      <w:r>
        <w:rPr>
          <w:rFonts w:hint="eastAsia" w:ascii="Times New Roman" w:hAnsi="Times New Roman" w:eastAsia="方正仿宋_GBK" w:cs="Times New Roman"/>
          <w:sz w:val="28"/>
          <w:szCs w:val="28"/>
        </w:rPr>
        <w:t>。</w:t>
      </w:r>
    </w:p>
    <w:p w14:paraId="68EF5739">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14:paraId="65161F6A">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14:paraId="3D272535">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1.</w:t>
      </w:r>
      <w:r>
        <w:rPr>
          <w:rFonts w:ascii="Times New Roman" w:hAnsi="Times New Roman" w:eastAsia="方正仿宋_GBK" w:cs="Times New Roman"/>
          <w:sz w:val="28"/>
          <w:szCs w:val="28"/>
        </w:rPr>
        <w:t>符合《中华人民共和国政府采购法》第二十二条之规定，具体如下：</w:t>
      </w:r>
    </w:p>
    <w:p w14:paraId="74B3AA36">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1.1具有独立承担民事责任的能力；</w:t>
      </w:r>
    </w:p>
    <w:p w14:paraId="7853B917">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1.2具有良好的商业信誉和健全的财务会计制度；</w:t>
      </w:r>
    </w:p>
    <w:p w14:paraId="06EA98DD">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1.3有依法缴纳税收和社会保障资金的良好记录；</w:t>
      </w:r>
    </w:p>
    <w:p w14:paraId="3A52DC1B">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1.4参加政府采购活动前三年内，在经营活动中没有重大违法记录；</w:t>
      </w:r>
    </w:p>
    <w:p w14:paraId="7EF735FC">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1.5法律、行政法规规定的其他条件。</w:t>
      </w:r>
    </w:p>
    <w:p w14:paraId="266E2A05">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2.</w:t>
      </w:r>
      <w:r>
        <w:rPr>
          <w:rFonts w:ascii="Times New Roman" w:hAnsi="Times New Roman" w:eastAsia="方正仿宋_GBK" w:cs="Times New Roman"/>
          <w:sz w:val="28"/>
          <w:szCs w:val="28"/>
        </w:rPr>
        <w:t>本项目不接受联合体参加比选。</w:t>
      </w:r>
    </w:p>
    <w:p w14:paraId="6A48B14D">
      <w:pPr>
        <w:spacing w:line="360" w:lineRule="auto"/>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3.</w:t>
      </w:r>
      <w:r>
        <w:rPr>
          <w:rFonts w:ascii="Times New Roman" w:hAnsi="Times New Roman" w:eastAsia="方正仿宋_GBK" w:cs="Times New Roman"/>
          <w:sz w:val="28"/>
          <w:szCs w:val="28"/>
          <w:highlight w:val="none"/>
        </w:rPr>
        <w:t>本项目特定要求：</w:t>
      </w:r>
      <w:r>
        <w:rPr>
          <w:rFonts w:hint="eastAsia" w:ascii="Times New Roman" w:hAnsi="Times New Roman" w:eastAsia="方正仿宋_GBK" w:cs="Times New Roman"/>
          <w:sz w:val="28"/>
          <w:szCs w:val="28"/>
          <w:highlight w:val="none"/>
          <w:lang w:val="en-US" w:eastAsia="zh-CN"/>
        </w:rPr>
        <w:t>无</w:t>
      </w:r>
    </w:p>
    <w:p w14:paraId="5ECF5A81">
      <w:pPr>
        <w:spacing w:line="360" w:lineRule="auto"/>
        <w:ind w:firstLine="281" w:firstLineChars="100"/>
        <w:rPr>
          <w:rFonts w:ascii="Times New Roman" w:hAnsi="Times New Roman" w:eastAsia="方正仿宋_GBK" w:cs="Times New Roman"/>
          <w:sz w:val="28"/>
          <w:szCs w:val="28"/>
        </w:rPr>
      </w:pPr>
      <w:r>
        <w:rPr>
          <w:rFonts w:ascii="Times New Roman" w:hAnsi="Times New Roman" w:eastAsia="方正仿宋_GBK" w:cs="Times New Roman"/>
          <w:b/>
          <w:sz w:val="28"/>
          <w:szCs w:val="28"/>
        </w:rPr>
        <w:t>（二）报名要求</w:t>
      </w:r>
    </w:p>
    <w:p w14:paraId="68EC05F9">
      <w:pPr>
        <w:spacing w:line="360" w:lineRule="auto"/>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在</w:t>
      </w:r>
      <w:r>
        <w:rPr>
          <w:rFonts w:ascii="Times New Roman" w:hAnsi="Times New Roman" w:eastAsia="方正仿宋_GBK" w:cs="Times New Roman"/>
          <w:sz w:val="28"/>
          <w:szCs w:val="28"/>
        </w:rPr>
        <w:t>要求时间</w:t>
      </w:r>
      <w:r>
        <w:rPr>
          <w:rFonts w:hint="eastAsia" w:ascii="Times New Roman" w:hAnsi="Times New Roman" w:eastAsia="方正仿宋_GBK" w:cs="Times New Roman"/>
          <w:sz w:val="28"/>
          <w:szCs w:val="28"/>
          <w:lang w:eastAsia="zh-CN"/>
        </w:rPr>
        <w:t>内提交</w:t>
      </w:r>
      <w:r>
        <w:rPr>
          <w:rFonts w:ascii="Times New Roman" w:hAnsi="Times New Roman" w:eastAsia="方正仿宋_GBK" w:cs="Times New Roman"/>
          <w:sz w:val="28"/>
          <w:szCs w:val="28"/>
        </w:rPr>
        <w:t>响应文件</w:t>
      </w:r>
      <w:r>
        <w:rPr>
          <w:rFonts w:hint="eastAsia" w:ascii="Times New Roman" w:hAnsi="Times New Roman" w:eastAsia="方正仿宋_GBK" w:cs="Times New Roman"/>
          <w:sz w:val="28"/>
          <w:szCs w:val="28"/>
          <w:lang w:eastAsia="zh-CN"/>
        </w:rPr>
        <w:t>，视为</w:t>
      </w:r>
      <w:r>
        <w:rPr>
          <w:rFonts w:ascii="Times New Roman" w:hAnsi="Times New Roman" w:eastAsia="方正仿宋_GBK" w:cs="Times New Roman"/>
          <w:sz w:val="28"/>
          <w:szCs w:val="28"/>
        </w:rPr>
        <w:t>报名。</w:t>
      </w:r>
    </w:p>
    <w:p w14:paraId="72B1B3DE">
      <w:pPr>
        <w:numPr>
          <w:ilvl w:val="0"/>
          <w:numId w:val="1"/>
        </w:num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比选文件领取方式</w:t>
      </w:r>
    </w:p>
    <w:p w14:paraId="244B4267">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14:paraId="38D5A72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四、响应文件接收时间和地点</w:t>
      </w:r>
    </w:p>
    <w:p w14:paraId="10774F73">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8</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9:30-</w:t>
      </w: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0</w:t>
      </w:r>
    </w:p>
    <w:p w14:paraId="28D5393A">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14:paraId="53D8AA69">
      <w:pPr>
        <w:spacing w:line="360" w:lineRule="auto"/>
        <w:ind w:left="1984" w:leftChars="945"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成都市龙泉驿区中医医院门诊5楼招标办公室</w:t>
      </w:r>
    </w:p>
    <w:p w14:paraId="55B3744C">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14:paraId="1D6F3BAF">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14:paraId="3A23F582">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五、比选时间、地点及方式</w:t>
      </w:r>
    </w:p>
    <w:p w14:paraId="3E255F30">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8</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上</w:t>
      </w:r>
      <w:r>
        <w:rPr>
          <w:rFonts w:ascii="Times New Roman" w:hAnsi="Times New Roman" w:eastAsia="方正仿宋_GBK" w:cs="Times New Roman"/>
          <w:sz w:val="28"/>
          <w:szCs w:val="28"/>
        </w:rPr>
        <w:t>午</w:t>
      </w:r>
    </w:p>
    <w:p w14:paraId="5DF90BE9">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14:paraId="726E19A6">
      <w:pPr>
        <w:spacing w:line="360" w:lineRule="auto"/>
        <w:ind w:firstLine="560" w:firstLineChars="200"/>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比选方式：</w:t>
      </w:r>
      <w:r>
        <w:rPr>
          <w:rFonts w:hint="eastAsia" w:ascii="Times New Roman" w:hAnsi="Times New Roman" w:eastAsia="方正仿宋_GBK" w:cs="Times New Roman"/>
          <w:sz w:val="28"/>
          <w:szCs w:val="28"/>
          <w:lang w:eastAsia="zh-CN"/>
        </w:rPr>
        <w:t>综合评分法</w:t>
      </w:r>
    </w:p>
    <w:p w14:paraId="4AE7640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w:t>
      </w:r>
      <w:r>
        <w:rPr>
          <w:rFonts w:hint="eastAsia" w:ascii="Times New Roman" w:hAnsi="Times New Roman" w:cs="Times New Roman"/>
          <w:b/>
          <w:sz w:val="28"/>
          <w:szCs w:val="28"/>
        </w:rPr>
        <w:t xml:space="preserve">  </w:t>
      </w:r>
      <w:r>
        <w:rPr>
          <w:rFonts w:ascii="Times New Roman" w:hAnsi="Times New Roman" w:cs="Times New Roman"/>
          <w:b/>
          <w:sz w:val="28"/>
          <w:szCs w:val="28"/>
        </w:rPr>
        <w:t>技术和服务要求</w:t>
      </w:r>
    </w:p>
    <w:p w14:paraId="0ED1F636">
      <w:pPr>
        <w:spacing w:line="360" w:lineRule="auto"/>
        <w:ind w:firstLine="562" w:firstLineChars="200"/>
        <w:rPr>
          <w:rFonts w:hint="eastAsia" w:ascii="Times New Roman" w:hAnsi="Times New Roman" w:eastAsia="方正仿宋_GBK" w:cs="Times New Roman"/>
          <w:b/>
          <w:sz w:val="28"/>
          <w:szCs w:val="28"/>
          <w:lang w:eastAsia="zh-CN"/>
        </w:rPr>
      </w:pPr>
      <w:r>
        <w:rPr>
          <w:rFonts w:ascii="Times New Roman" w:hAnsi="Times New Roman" w:eastAsia="方正仿宋_GBK" w:cs="Times New Roman"/>
          <w:b/>
          <w:sz w:val="28"/>
          <w:szCs w:val="28"/>
        </w:rPr>
        <w:t>一、</w:t>
      </w:r>
      <w:r>
        <w:rPr>
          <w:rFonts w:hint="eastAsia" w:ascii="Times New Roman" w:hAnsi="Times New Roman" w:eastAsia="方正仿宋_GBK" w:cs="Times New Roman"/>
          <w:b/>
          <w:sz w:val="28"/>
          <w:szCs w:val="28"/>
          <w:lang w:eastAsia="zh-CN"/>
        </w:rPr>
        <w:t>技术要求</w:t>
      </w:r>
    </w:p>
    <w:p w14:paraId="1C68BBEC">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服务内容：本采购包范围内的设备整机全保，整机保修含人工、设备所有配件，至少包含图像故障、插入管老化、导光软管老化、导光束亮度不足、弯曲角度异常、角度钢丝断裂、钳道管漏水、吸引阀座磨损、遥控按钮失灵、水气管堵塞、喷嘴堵塞、电器插针氧化腐蚀、弯曲橡皮漏水。如果在自然损耗以及正常的清洗、消毒和使用的情况下发生故障,成交人需无条件维修并更换全新配件，相关费用包含在供应商响应报价中。</w:t>
      </w:r>
    </w:p>
    <w:p w14:paraId="7F4D9062">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供应商在设备维保期间，需保障设备的性能运行正常，每年至少进行一次性能检测，相关费用包含在响应报价中。维保期内，保证设备正常运行的所有设备、备件、运输、人工工时费(至少包含故障维修、性能调校、设备保养、安全升级)、培训、差旅、食宿等相关费用均包含在响应报价中，采购人不必再支付相关费用。（需单独提供承诺函，格式自拟）</w:t>
      </w:r>
    </w:p>
    <w:p w14:paraId="141B7B9B">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3、配件要求：成交人负责更换与设备相关的所有配件及设备，更换的配件必须为合法正规、全新、合格配件，能匹配维保设备正常运转，维修更换配件后的设备技术参数需要满足采购人正常使用要求，供应商使用的配件应是零配件厂家认证合格（或者零配件厂家测试合格）的全新零配件，保障维修后的机器性能和使用效果，且所需费用包含在响应报价中，并做旧件回收。成交供应商在更换配件时应提供用于采购人核验产品及配件的注册证、合格证、发票等单证。</w:t>
      </w:r>
    </w:p>
    <w:p w14:paraId="5CB4A1F4">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备用镜：供应商在维修过程中必须提供正规渠道同型号的备用设备（备用设备来源可追溯）供科室使用，备用设备需在72小时之内到达现场，以减少在维修过程中因无设备使用而造成的损失，供应商如提供的为非正规渠道同型号备用设备，从而影响科室工作开展及造成损失的，采购人有权解除合同并追究供应商相应赔偿责任。</w:t>
      </w:r>
    </w:p>
    <w:p w14:paraId="73776CD0">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5、服务响应时间：周一至周日（24小时×365天）。自采购人通知之时，工程师在1小时内响应，提供电话、网络等技术支持。如以上技术支持无法解决设备故障，维修工程师须在24小时内到达设备使用现场进行维修，排除故障。如设备无法立即修复，应在10个工作日内完成维修。</w:t>
      </w:r>
    </w:p>
    <w:p w14:paraId="7E180460">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★6、维修服务：设备在保修期内不限次数提供维修服务，不限数量更换所需更换的配件。每次维修完成后，向采购人提供书面维修报告一份。一切在维修检测过程中发生的设备损坏，由维保供应商全权负责。</w:t>
      </w:r>
    </w:p>
    <w:p w14:paraId="188132E3">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★7、保障维修质量要求: 要求同一设备维修后半年内无因同样故障再次维修情况发生，若年度内发生3次上述情况，中止付款，立即终止协议，并要求供应商赔偿相应的经济损失。（需单独提供承诺函）</w:t>
      </w:r>
    </w:p>
    <w:p w14:paraId="6AA20E37">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8、预防性保养：每年至少4次（每三月一次）定期维护保养、1次年度维护保养、每月至少一次巡回点检，保证设备使用安全性。每次维护保养出具维修保养检测报告。维护保养内容至少包含（1）安全检查，（2）气密性检查，（3）性能测试，（4）除尘保养，（5）运行状态检查。（6）老旧配件更换（按次数提供相关记录）。</w:t>
      </w:r>
    </w:p>
    <w:p w14:paraId="0283702C">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▲9、技术支持：在维保期内，成交人可根据采购人的需求，就本维保服务设备清单中所列设备的使用、清洗和保养方法为采购人提供院内培训，并自行承担相应费用（包含在本次供应商的响应报价中）。</w:t>
      </w:r>
    </w:p>
    <w:p w14:paraId="30320B41">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10、开机（完好）率：保证每个合同年每台设备完好率不低于95%，按一年365天计算（开机率＝（365-因故障停机天数）/365×100%），若设备未达到以上开机率，停机每超出一天，对应设备的维保期限自动延长3天，所需费用包含在响应报价中。如开机率低于90%时，采购人有权终止合同，并追究其违约责任。</w:t>
      </w:r>
    </w:p>
    <w:p w14:paraId="0099D0D5">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11、维修人员要求：承诺成交后，在四川省有专业维修工程师至少2人，在成都地区有至少一名常驻工程师（需单独提供承诺函，格式自拟）。参与服务的工程师需经过相关培训，并提供相关证明文件及联系方式（提供参与厂家开展的工程师资格认证培训，并取得厂家颁发的资格证书）。</w:t>
      </w:r>
    </w:p>
    <w:p w14:paraId="687C5131">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★12、安全检查：每合同年内每台设备提供不少于4次安全检查：至少包含：（1）制定检查计划；（2）机械安全检查；（3）电气安全检查；（4）记录检查结果。</w:t>
      </w:r>
    </w:p>
    <w:p w14:paraId="30943FD7">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法律责任：在维保过程中接触到设备使用单位的技术资料、患者隐私信息等严格保密，不得外泄或用作商业用途，否则承担响应的侵权等法律责任。服务期内，供应商严格按照设备维修规范和医院安全生产相关管理规定进行设备维修和维护保养，如出现因设备维保引起安全事故或医疗纠纷等，由成交人承担全部责任并承担由此产生的所有费用。</w:t>
      </w:r>
    </w:p>
    <w:p w14:paraId="52A62E56">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本项目所附设备在本次采购前发生的故障（不论设备之前是否经过原厂或第三方维修）或在项目服务期限内出现的故障，由成交人负责提供维修服务，相关维修成本包含在本次响应报价中。但是特例情况可由双方以补充协议的方式另行约定。</w:t>
      </w:r>
    </w:p>
    <w:p w14:paraId="7998E5E7">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、服务委托期内每隔 3 个月，成交人应向采购人提供合同执行报告，具体内容由成交人制定，包括且不限于：合同执行数据，成交人工作汇报，合同参保设备故障情况和相应故障预防建议。</w:t>
      </w:r>
    </w:p>
    <w:p w14:paraId="340B9EF3">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、在服务委托期内，成交人结合采购人的实际情况，判断是否要向本项目参保设备提供故障预防工具。如成交人判断需要时，由成交人直接向采购人提供。具体提供方式和数量，以成交人判断为准。</w:t>
      </w:r>
    </w:p>
    <w:p w14:paraId="7A39D832">
      <w:pPr>
        <w:pStyle w:val="12"/>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lang w:val="en-US" w:eastAsia="zh-CN"/>
        </w:rPr>
        <w:t>7</w:t>
      </w:r>
      <w:r>
        <w:rPr>
          <w:rFonts w:hint="eastAsia" w:ascii="Times New Roman" w:hAnsi="Times New Roman" w:eastAsia="方正仿宋_GBK" w:cs="Times New Roman"/>
          <w:sz w:val="28"/>
          <w:szCs w:val="28"/>
        </w:rPr>
        <w:t>、年度报告：成交人每年提供维保年度报告，报告至少包含当年设备的维修记录、巡查记录、保养记录、性能检测记录。有故障现象描述、故障原因分析、问题处理办法、更换的具体配件、年度设备使用率内容，需同时提供电子版（至少1份）和纸质版（至少2份）。</w:t>
      </w:r>
    </w:p>
    <w:p w14:paraId="7D4247D9">
      <w:pPr>
        <w:pStyle w:val="12"/>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设备清单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826"/>
        <w:gridCol w:w="1812"/>
        <w:gridCol w:w="1812"/>
        <w:gridCol w:w="1813"/>
      </w:tblGrid>
      <w:tr w14:paraId="6309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50C06F33">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序号</w:t>
            </w:r>
          </w:p>
        </w:tc>
        <w:tc>
          <w:tcPr>
            <w:tcW w:w="2826" w:type="dxa"/>
          </w:tcPr>
          <w:p w14:paraId="3DECADC9">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设备名称</w:t>
            </w:r>
          </w:p>
        </w:tc>
        <w:tc>
          <w:tcPr>
            <w:tcW w:w="1812" w:type="dxa"/>
          </w:tcPr>
          <w:p w14:paraId="70BD63B3">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设备品牌</w:t>
            </w:r>
          </w:p>
        </w:tc>
        <w:tc>
          <w:tcPr>
            <w:tcW w:w="1812" w:type="dxa"/>
          </w:tcPr>
          <w:p w14:paraId="7146A3EE">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设备型号</w:t>
            </w:r>
          </w:p>
        </w:tc>
        <w:tc>
          <w:tcPr>
            <w:tcW w:w="1813" w:type="dxa"/>
          </w:tcPr>
          <w:p w14:paraId="7DE8D94E">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设备序列号</w:t>
            </w:r>
          </w:p>
        </w:tc>
      </w:tr>
      <w:tr w14:paraId="451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71397BD9">
            <w:pPr>
              <w:pStyle w:val="12"/>
              <w:jc w:val="center"/>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w:t>
            </w:r>
          </w:p>
        </w:tc>
        <w:tc>
          <w:tcPr>
            <w:tcW w:w="2826" w:type="dxa"/>
          </w:tcPr>
          <w:p w14:paraId="4DF7FD7B">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电子鼻咽喉内窥镜</w:t>
            </w:r>
          </w:p>
        </w:tc>
        <w:tc>
          <w:tcPr>
            <w:tcW w:w="1812" w:type="dxa"/>
          </w:tcPr>
          <w:p w14:paraId="4534B5EE">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奥林巴斯</w:t>
            </w:r>
          </w:p>
        </w:tc>
        <w:tc>
          <w:tcPr>
            <w:tcW w:w="1812" w:type="dxa"/>
          </w:tcPr>
          <w:p w14:paraId="57E7DD5C">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ENF-VT2</w:t>
            </w:r>
          </w:p>
        </w:tc>
        <w:tc>
          <w:tcPr>
            <w:tcW w:w="1813" w:type="dxa"/>
          </w:tcPr>
          <w:p w14:paraId="40D3F4C2">
            <w:pPr>
              <w:pStyle w:val="12"/>
              <w:jc w:val="center"/>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2052716</w:t>
            </w:r>
          </w:p>
        </w:tc>
      </w:tr>
    </w:tbl>
    <w:p w14:paraId="1FB8121E">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二</w:t>
      </w:r>
      <w:r>
        <w:rPr>
          <w:rFonts w:hint="eastAsia" w:ascii="方正仿宋_GBK" w:hAnsi="方正仿宋_GBK" w:eastAsia="方正仿宋_GBK" w:cs="方正仿宋_GBK"/>
          <w:b/>
          <w:sz w:val="28"/>
          <w:szCs w:val="28"/>
        </w:rPr>
        <w:t>、商务要求（实质性要求）</w:t>
      </w:r>
    </w:p>
    <w:p w14:paraId="3F9F9F35">
      <w:pPr>
        <w:spacing w:line="240" w:lineRule="atLeast"/>
        <w:ind w:firstLine="560" w:firstLineChars="200"/>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（一）服务地点：成都市龙泉驿区中医医院</w:t>
      </w:r>
    </w:p>
    <w:p w14:paraId="50848F58">
      <w:pPr>
        <w:spacing w:line="240" w:lineRule="atLeast"/>
        <w:ind w:firstLine="560" w:firstLineChars="200"/>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二</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服务期限</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3年，合同一年一签</w:t>
      </w:r>
    </w:p>
    <w:p w14:paraId="5FE53373">
      <w:pPr>
        <w:spacing w:line="240" w:lineRule="atLeas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（三）付款方式</w:t>
      </w:r>
      <w:r>
        <w:rPr>
          <w:rFonts w:hint="eastAsia" w:ascii="Times New Roman" w:hAnsi="Times New Roman" w:eastAsia="方正仿宋_GBK" w:cs="Times New Roman"/>
          <w:sz w:val="28"/>
          <w:szCs w:val="28"/>
          <w:lang w:eastAsia="zh-CN"/>
        </w:rPr>
        <w:t>及考核结果运用</w:t>
      </w:r>
      <w:r>
        <w:rPr>
          <w:rFonts w:hint="eastAsia" w:ascii="Times New Roman" w:hAnsi="Times New Roman" w:eastAsia="方正仿宋_GBK" w:cs="Times New Roman"/>
          <w:sz w:val="28"/>
          <w:szCs w:val="28"/>
        </w:rPr>
        <w:t>：由设备使用科室和管理科室共同对服务期间的维保服务进行考核，发现问题，向供应商发出整改通知，并记录备查。考核结果运用：1.考核结果为85分以上（含85分）的，续签下一年度维保服务合同，支付上年度合同约定服务费用的100%。2.考核结果为85分以下（不含85分）的，以85分为基准每减少1分，从应支付合同款项中扣除1%的服务费用；考核结果为60分以下（不含60分）的，除扣除服务费外，采购人有权取消供应商维保服务资格，不再续签下一年度合同。采购人有权根据管理要求和实际情况，对考核内容、标准等进行调整。</w:t>
      </w:r>
    </w:p>
    <w:p w14:paraId="0A4A3FCA">
      <w:pPr>
        <w:spacing w:line="240" w:lineRule="atLeas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四</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报价要求：本项目报价按</w:t>
      </w:r>
      <w:r>
        <w:rPr>
          <w:rFonts w:hint="eastAsia" w:ascii="Times New Roman" w:hAnsi="Times New Roman" w:eastAsia="方正仿宋_GBK" w:cs="Times New Roman"/>
          <w:sz w:val="28"/>
          <w:szCs w:val="28"/>
          <w:lang w:eastAsia="zh-CN"/>
        </w:rPr>
        <w:t>总价包干</w:t>
      </w:r>
      <w:r>
        <w:rPr>
          <w:rFonts w:ascii="Times New Roman" w:hAnsi="Times New Roman" w:eastAsia="方正仿宋_GBK" w:cs="Times New Roman"/>
          <w:sz w:val="28"/>
          <w:szCs w:val="28"/>
        </w:rPr>
        <w:t>报价</w:t>
      </w:r>
      <w:r>
        <w:rPr>
          <w:rFonts w:hint="eastAsia" w:ascii="Times New Roman" w:hAnsi="Times New Roman" w:eastAsia="方正仿宋_GBK" w:cs="Times New Roman"/>
          <w:sz w:val="28"/>
          <w:szCs w:val="28"/>
          <w:lang w:eastAsia="zh-CN"/>
        </w:rPr>
        <w:t>，报价不得超过预算价</w:t>
      </w:r>
      <w:r>
        <w:rPr>
          <w:rFonts w:ascii="Times New Roman" w:hAnsi="Times New Roman" w:eastAsia="方正仿宋_GBK" w:cs="Times New Roman"/>
          <w:sz w:val="28"/>
          <w:szCs w:val="28"/>
        </w:rPr>
        <w:t>。</w:t>
      </w:r>
    </w:p>
    <w:p w14:paraId="6982FF96">
      <w:pPr>
        <w:spacing w:line="360" w:lineRule="auto"/>
        <w:ind w:firstLine="56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三</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eastAsia="zh-CN"/>
        </w:rPr>
        <w:t>考核标准</w:t>
      </w:r>
      <w:r>
        <w:rPr>
          <w:rFonts w:hint="eastAsia" w:ascii="方正仿宋_GBK" w:hAnsi="方正仿宋_GBK" w:eastAsia="方正仿宋_GBK" w:cs="方正仿宋_GBK"/>
          <w:b/>
          <w:sz w:val="28"/>
          <w:szCs w:val="28"/>
        </w:rPr>
        <w:t>（实质性要求）</w:t>
      </w:r>
    </w:p>
    <w:tbl>
      <w:tblPr>
        <w:tblStyle w:val="8"/>
        <w:tblW w:w="9390" w:type="dxa"/>
        <w:tblInd w:w="93" w:type="dxa"/>
        <w:tblLayout w:type="autofit"/>
        <w:tblCellMar>
          <w:top w:w="0" w:type="dxa"/>
          <w:left w:w="108" w:type="dxa"/>
          <w:bottom w:w="0" w:type="dxa"/>
          <w:right w:w="108" w:type="dxa"/>
        </w:tblCellMar>
      </w:tblPr>
      <w:tblGrid>
        <w:gridCol w:w="1741"/>
        <w:gridCol w:w="827"/>
        <w:gridCol w:w="5845"/>
        <w:gridCol w:w="988"/>
      </w:tblGrid>
      <w:tr w14:paraId="768ABCCF">
        <w:tblPrEx>
          <w:tblCellMar>
            <w:top w:w="0" w:type="dxa"/>
            <w:left w:w="108" w:type="dxa"/>
            <w:bottom w:w="0" w:type="dxa"/>
            <w:right w:w="108" w:type="dxa"/>
          </w:tblCellMar>
        </w:tblPrEx>
        <w:trPr>
          <w:trHeight w:val="880" w:hRule="atLeast"/>
        </w:trPr>
        <w:tc>
          <w:tcPr>
            <w:tcW w:w="9401" w:type="dxa"/>
            <w:gridSpan w:val="4"/>
            <w:tcBorders>
              <w:top w:val="nil"/>
              <w:left w:val="nil"/>
              <w:bottom w:val="nil"/>
              <w:right w:val="nil"/>
            </w:tcBorders>
            <w:noWrap/>
            <w:vAlign w:val="center"/>
          </w:tcPr>
          <w:p w14:paraId="19268A0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成都市龙泉驿区中医医院设备维保服务（全保）考核表</w:t>
            </w:r>
          </w:p>
        </w:tc>
      </w:tr>
      <w:tr w14:paraId="27F3B152">
        <w:tblPrEx>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7A3D5C">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设备名称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390C0B9">
            <w:pPr>
              <w:jc w:val="cente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E4BEE">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得分</w:t>
            </w:r>
          </w:p>
        </w:tc>
      </w:tr>
      <w:tr w14:paraId="6340D300">
        <w:tblPrEx>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651A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维保期限</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D87793">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年   月   日--   年   月   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00372">
            <w:pPr>
              <w:rPr>
                <w:rFonts w:ascii="仿宋_GB2312" w:hAnsi="仿宋_GB2312" w:eastAsia="仿宋_GB2312" w:cs="仿宋_GB2312"/>
                <w:kern w:val="0"/>
                <w:sz w:val="20"/>
                <w:szCs w:val="20"/>
                <w:lang w:eastAsia="zh-Hans"/>
              </w:rPr>
            </w:pPr>
          </w:p>
        </w:tc>
      </w:tr>
      <w:tr w14:paraId="1FEE028E">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8EBA13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维保公司名称</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295C1CF">
            <w:pPr>
              <w:jc w:val="cente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8E676">
            <w:pPr>
              <w:rPr>
                <w:rFonts w:ascii="仿宋_GB2312" w:hAnsi="仿宋_GB2312" w:eastAsia="仿宋_GB2312" w:cs="仿宋_GB2312"/>
                <w:kern w:val="0"/>
                <w:sz w:val="20"/>
                <w:szCs w:val="20"/>
                <w:lang w:eastAsia="zh-Hans"/>
              </w:rPr>
            </w:pPr>
          </w:p>
        </w:tc>
      </w:tr>
      <w:tr w14:paraId="160598BE">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4B238">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开机率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5BD66">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20</w:t>
            </w:r>
          </w:p>
        </w:tc>
        <w:tc>
          <w:tcPr>
            <w:tcW w:w="5876" w:type="dxa"/>
            <w:tcBorders>
              <w:top w:val="single" w:color="000000" w:sz="4" w:space="0"/>
              <w:left w:val="single" w:color="000000" w:sz="4" w:space="0"/>
              <w:bottom w:val="single" w:color="000000" w:sz="4" w:space="0"/>
              <w:right w:val="single" w:color="000000" w:sz="4" w:space="0"/>
            </w:tcBorders>
            <w:vAlign w:val="center"/>
          </w:tcPr>
          <w:p w14:paraId="338FCE9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设备实际开机率应达到合同约定（以一年365天计算，未达到约定开机率每少一天扣1分）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55D35">
            <w:pPr>
              <w:rPr>
                <w:rFonts w:ascii="仿宋_GB2312" w:hAnsi="仿宋_GB2312" w:eastAsia="仿宋_GB2312" w:cs="仿宋_GB2312"/>
                <w:kern w:val="0"/>
                <w:sz w:val="20"/>
                <w:szCs w:val="20"/>
                <w:lang w:eastAsia="zh-Hans"/>
              </w:rPr>
            </w:pPr>
          </w:p>
        </w:tc>
      </w:tr>
      <w:tr w14:paraId="10A24D51">
        <w:tblPrEx>
          <w:tblCellMar>
            <w:top w:w="0" w:type="dxa"/>
            <w:left w:w="108" w:type="dxa"/>
            <w:bottom w:w="0" w:type="dxa"/>
            <w:right w:w="108" w:type="dxa"/>
          </w:tblCellMar>
        </w:tblPrEx>
        <w:trPr>
          <w:trHeight w:val="560" w:hRule="atLeast"/>
        </w:trPr>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FC1665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维保服务档案</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8130F0">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single" w:color="000000" w:sz="4" w:space="0"/>
              <w:left w:val="nil"/>
              <w:bottom w:val="nil"/>
              <w:right w:val="nil"/>
            </w:tcBorders>
            <w:vAlign w:val="center"/>
          </w:tcPr>
          <w:p w14:paraId="1C3F4CB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1.按时巡查、记录完整（得满分）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36EE70A">
            <w:pPr>
              <w:jc w:val="center"/>
              <w:rPr>
                <w:rFonts w:ascii="仿宋_GB2312" w:hAnsi="仿宋_GB2312" w:eastAsia="仿宋_GB2312" w:cs="仿宋_GB2312"/>
                <w:kern w:val="0"/>
                <w:sz w:val="20"/>
                <w:szCs w:val="20"/>
                <w:lang w:eastAsia="zh-Hans"/>
              </w:rPr>
            </w:pPr>
          </w:p>
        </w:tc>
      </w:tr>
      <w:tr w14:paraId="1044CBBB">
        <w:tblPrEx>
          <w:tblCellMar>
            <w:top w:w="0" w:type="dxa"/>
            <w:left w:w="108" w:type="dxa"/>
            <w:bottom w:w="0" w:type="dxa"/>
            <w:right w:w="108" w:type="dxa"/>
          </w:tblCellMar>
        </w:tblPrEx>
        <w:trPr>
          <w:trHeight w:val="56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D7CD85E">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8573F9">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0FBF11E5">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2.未按时巡查或记录缺失（一次扣</w:t>
            </w:r>
            <w:r>
              <w:rPr>
                <w:rFonts w:hint="eastAsia" w:ascii="仿宋_GB2312" w:hAnsi="仿宋_GB2312" w:eastAsia="仿宋_GB2312" w:cs="仿宋_GB2312"/>
                <w:kern w:val="0"/>
                <w:sz w:val="20"/>
                <w:szCs w:val="20"/>
              </w:rPr>
              <w:t>2.5</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1E2A2D">
            <w:pPr>
              <w:jc w:val="center"/>
              <w:rPr>
                <w:rFonts w:ascii="仿宋_GB2312" w:hAnsi="仿宋_GB2312" w:eastAsia="仿宋_GB2312" w:cs="仿宋_GB2312"/>
                <w:kern w:val="0"/>
                <w:sz w:val="20"/>
                <w:szCs w:val="20"/>
                <w:lang w:eastAsia="zh-Hans"/>
              </w:rPr>
            </w:pPr>
          </w:p>
        </w:tc>
      </w:tr>
      <w:tr w14:paraId="64DCC27F">
        <w:tblPrEx>
          <w:tblCellMar>
            <w:top w:w="0" w:type="dxa"/>
            <w:left w:w="108" w:type="dxa"/>
            <w:bottom w:w="0" w:type="dxa"/>
            <w:right w:w="108" w:type="dxa"/>
          </w:tblCellMar>
        </w:tblPrEx>
        <w:trPr>
          <w:trHeight w:val="56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A486E12">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B377AB">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0B02876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3.无人巡查或无巡查记录（本项不得分）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1161AA">
            <w:pPr>
              <w:jc w:val="center"/>
              <w:rPr>
                <w:rFonts w:ascii="仿宋_GB2312" w:hAnsi="仿宋_GB2312" w:eastAsia="仿宋_GB2312" w:cs="仿宋_GB2312"/>
                <w:kern w:val="0"/>
                <w:sz w:val="20"/>
                <w:szCs w:val="20"/>
                <w:lang w:eastAsia="zh-Hans"/>
              </w:rPr>
            </w:pPr>
          </w:p>
        </w:tc>
      </w:tr>
      <w:tr w14:paraId="396715DC">
        <w:tblPrEx>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1E7934">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保养内容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1C650F">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20</w:t>
            </w:r>
          </w:p>
        </w:tc>
        <w:tc>
          <w:tcPr>
            <w:tcW w:w="5876" w:type="dxa"/>
            <w:tcBorders>
              <w:top w:val="single" w:color="000000" w:sz="4" w:space="0"/>
              <w:left w:val="nil"/>
              <w:bottom w:val="nil"/>
              <w:right w:val="nil"/>
            </w:tcBorders>
            <w:vAlign w:val="center"/>
          </w:tcPr>
          <w:p w14:paraId="7C5DA785">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1.按维保计划完成全部保养内容（得满分）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F08690">
            <w:pPr>
              <w:jc w:val="center"/>
              <w:rPr>
                <w:rFonts w:ascii="仿宋_GB2312" w:hAnsi="仿宋_GB2312" w:eastAsia="仿宋_GB2312" w:cs="仿宋_GB2312"/>
                <w:kern w:val="0"/>
                <w:sz w:val="20"/>
                <w:szCs w:val="20"/>
                <w:lang w:eastAsia="zh-Hans"/>
              </w:rPr>
            </w:pPr>
          </w:p>
        </w:tc>
      </w:tr>
      <w:tr w14:paraId="0271B50C">
        <w:tblPrEx>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BE60B4">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90B3AF">
            <w:pPr>
              <w:jc w:val="center"/>
              <w:rPr>
                <w:rFonts w:ascii="仿宋_GB2312" w:hAnsi="仿宋_GB2312" w:eastAsia="仿宋_GB2312" w:cs="仿宋_GB2312"/>
                <w:kern w:val="0"/>
                <w:sz w:val="20"/>
                <w:szCs w:val="20"/>
                <w:lang w:eastAsia="zh-Hans"/>
              </w:rPr>
            </w:pPr>
          </w:p>
        </w:tc>
        <w:tc>
          <w:tcPr>
            <w:tcW w:w="5876" w:type="dxa"/>
            <w:tcBorders>
              <w:top w:val="nil"/>
              <w:left w:val="nil"/>
              <w:bottom w:val="single" w:color="000000" w:sz="4" w:space="0"/>
              <w:right w:val="nil"/>
            </w:tcBorders>
            <w:vAlign w:val="center"/>
          </w:tcPr>
          <w:p w14:paraId="7649EF54">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2.未按计划完成保养内容（少1条扣</w:t>
            </w: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6F508C">
            <w:pPr>
              <w:jc w:val="center"/>
              <w:rPr>
                <w:rFonts w:ascii="仿宋_GB2312" w:hAnsi="仿宋_GB2312" w:eastAsia="仿宋_GB2312" w:cs="仿宋_GB2312"/>
                <w:kern w:val="0"/>
                <w:sz w:val="20"/>
                <w:szCs w:val="20"/>
                <w:lang w:eastAsia="zh-Hans"/>
              </w:rPr>
            </w:pPr>
          </w:p>
        </w:tc>
      </w:tr>
      <w:tr w14:paraId="09CCF229">
        <w:tblPrEx>
          <w:tblCellMar>
            <w:top w:w="0" w:type="dxa"/>
            <w:left w:w="108" w:type="dxa"/>
            <w:bottom w:w="0" w:type="dxa"/>
            <w:right w:w="108" w:type="dxa"/>
          </w:tblCellMar>
        </w:tblPrEx>
        <w:trPr>
          <w:trHeight w:val="620" w:hRule="atLeast"/>
        </w:trPr>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F3B4AF3">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维修相应时间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0B731F6">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20</w:t>
            </w:r>
          </w:p>
        </w:tc>
        <w:tc>
          <w:tcPr>
            <w:tcW w:w="5876" w:type="dxa"/>
            <w:tcBorders>
              <w:top w:val="single" w:color="000000" w:sz="4" w:space="0"/>
              <w:left w:val="nil"/>
              <w:bottom w:val="nil"/>
              <w:right w:val="nil"/>
            </w:tcBorders>
            <w:vAlign w:val="center"/>
          </w:tcPr>
          <w:p w14:paraId="0F046125">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1.按要求时间到达并及时处理完成（得满分）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60F7374">
            <w:pPr>
              <w:jc w:val="center"/>
              <w:rPr>
                <w:rFonts w:ascii="仿宋_GB2312" w:hAnsi="仿宋_GB2312" w:eastAsia="仿宋_GB2312" w:cs="仿宋_GB2312"/>
                <w:kern w:val="0"/>
                <w:sz w:val="20"/>
                <w:szCs w:val="20"/>
                <w:lang w:eastAsia="zh-Hans"/>
              </w:rPr>
            </w:pPr>
          </w:p>
        </w:tc>
      </w:tr>
      <w:tr w14:paraId="4594CAA4">
        <w:tblPrEx>
          <w:tblCellMar>
            <w:top w:w="0" w:type="dxa"/>
            <w:left w:w="108" w:type="dxa"/>
            <w:bottom w:w="0" w:type="dxa"/>
            <w:right w:w="108" w:type="dxa"/>
          </w:tblCellMar>
        </w:tblPrEx>
        <w:trPr>
          <w:trHeight w:val="76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1672D5EE">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85C66E">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7D1A41EC">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2.按要求时间到达但因维保方人为因素不能按要求时间内处理完成（一次扣</w:t>
            </w:r>
            <w:r>
              <w:rPr>
                <w:rFonts w:hint="eastAsia" w:ascii="仿宋_GB2312" w:hAnsi="仿宋_GB2312" w:eastAsia="仿宋_GB2312" w:cs="仿宋_GB2312"/>
                <w:kern w:val="0"/>
                <w:sz w:val="20"/>
                <w:szCs w:val="20"/>
              </w:rPr>
              <w:t>2</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600460">
            <w:pPr>
              <w:jc w:val="center"/>
              <w:rPr>
                <w:rFonts w:ascii="仿宋_GB2312" w:hAnsi="仿宋_GB2312" w:eastAsia="仿宋_GB2312" w:cs="仿宋_GB2312"/>
                <w:kern w:val="0"/>
                <w:sz w:val="20"/>
                <w:szCs w:val="20"/>
                <w:lang w:eastAsia="zh-Hans"/>
              </w:rPr>
            </w:pPr>
          </w:p>
        </w:tc>
      </w:tr>
      <w:tr w14:paraId="6E033791">
        <w:tblPrEx>
          <w:tblCellMar>
            <w:top w:w="0" w:type="dxa"/>
            <w:left w:w="108" w:type="dxa"/>
            <w:bottom w:w="0" w:type="dxa"/>
            <w:right w:w="108" w:type="dxa"/>
          </w:tblCellMar>
        </w:tblPrEx>
        <w:trPr>
          <w:trHeight w:val="58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82EC17A">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4C16599">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7A637738">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3.超过要求时间到达现场（一次扣</w:t>
            </w:r>
            <w:r>
              <w:rPr>
                <w:rFonts w:hint="eastAsia" w:ascii="仿宋_GB2312" w:hAnsi="仿宋_GB2312" w:eastAsia="仿宋_GB2312" w:cs="仿宋_GB2312"/>
                <w:kern w:val="0"/>
                <w:sz w:val="20"/>
                <w:szCs w:val="20"/>
              </w:rPr>
              <w:t>5</w:t>
            </w:r>
            <w:r>
              <w:rPr>
                <w:rFonts w:hint="eastAsia" w:ascii="仿宋_GB2312" w:hAnsi="仿宋_GB2312" w:eastAsia="仿宋_GB2312" w:cs="仿宋_GB2312"/>
                <w:kern w:val="0"/>
                <w:sz w:val="20"/>
                <w:szCs w:val="20"/>
                <w:lang w:eastAsia="zh-Hans"/>
              </w:rPr>
              <w:t>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E19AF9">
            <w:pPr>
              <w:jc w:val="center"/>
              <w:rPr>
                <w:rFonts w:ascii="仿宋_GB2312" w:hAnsi="仿宋_GB2312" w:eastAsia="仿宋_GB2312" w:cs="仿宋_GB2312"/>
                <w:kern w:val="0"/>
                <w:sz w:val="20"/>
                <w:szCs w:val="20"/>
                <w:lang w:eastAsia="zh-Hans"/>
              </w:rPr>
            </w:pPr>
          </w:p>
        </w:tc>
      </w:tr>
      <w:tr w14:paraId="7EACB9C9">
        <w:tblPrEx>
          <w:tblCellMar>
            <w:top w:w="0" w:type="dxa"/>
            <w:left w:w="108" w:type="dxa"/>
            <w:bottom w:w="0" w:type="dxa"/>
            <w:right w:w="108" w:type="dxa"/>
          </w:tblCellMar>
        </w:tblPrEx>
        <w:trPr>
          <w:trHeight w:val="580" w:hRule="atLeast"/>
        </w:trPr>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C77B236">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FC70E5">
            <w:pPr>
              <w:jc w:val="center"/>
              <w:rPr>
                <w:rFonts w:ascii="仿宋_GB2312" w:hAnsi="仿宋_GB2312" w:eastAsia="仿宋_GB2312" w:cs="仿宋_GB2312"/>
                <w:kern w:val="0"/>
                <w:sz w:val="20"/>
                <w:szCs w:val="20"/>
                <w:lang w:eastAsia="zh-Hans"/>
              </w:rPr>
            </w:pPr>
          </w:p>
        </w:tc>
        <w:tc>
          <w:tcPr>
            <w:tcW w:w="5876" w:type="dxa"/>
            <w:tcBorders>
              <w:top w:val="nil"/>
              <w:left w:val="nil"/>
              <w:bottom w:val="single" w:color="000000" w:sz="4" w:space="0"/>
              <w:right w:val="nil"/>
            </w:tcBorders>
            <w:vAlign w:val="center"/>
          </w:tcPr>
          <w:p w14:paraId="7D83F2A1">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4.未到达现场（本项不得分）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000AD7">
            <w:pPr>
              <w:jc w:val="center"/>
              <w:rPr>
                <w:rFonts w:ascii="仿宋_GB2312" w:hAnsi="仿宋_GB2312" w:eastAsia="仿宋_GB2312" w:cs="仿宋_GB2312"/>
                <w:kern w:val="0"/>
                <w:sz w:val="20"/>
                <w:szCs w:val="20"/>
                <w:lang w:eastAsia="zh-Hans"/>
              </w:rPr>
            </w:pPr>
          </w:p>
        </w:tc>
      </w:tr>
      <w:tr w14:paraId="4708A6BF">
        <w:tblPrEx>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3605280">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配件</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149C35A">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nil"/>
              <w:left w:val="nil"/>
              <w:bottom w:val="nil"/>
              <w:right w:val="nil"/>
            </w:tcBorders>
            <w:vAlign w:val="center"/>
          </w:tcPr>
          <w:p w14:paraId="65D83F24">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1.配件证件齐全，要求配件的规格、品质应</w:t>
            </w:r>
            <w:r>
              <w:rPr>
                <w:rFonts w:hint="eastAsia" w:ascii="仿宋_GB2312" w:hAnsi="仿宋_GB2312" w:eastAsia="仿宋_GB2312" w:cs="仿宋_GB2312"/>
                <w:kern w:val="0"/>
                <w:sz w:val="20"/>
                <w:szCs w:val="20"/>
              </w:rPr>
              <w:t>与设备兼容，能匹配维保设备正常运转，维修更换配件后的设备技术参数需要满足医院正常使用要求</w:t>
            </w:r>
            <w:r>
              <w:rPr>
                <w:rFonts w:hint="eastAsia" w:ascii="仿宋_GB2312" w:hAnsi="仿宋_GB2312" w:eastAsia="仿宋_GB2312" w:cs="仿宋_GB2312"/>
                <w:kern w:val="0"/>
                <w:sz w:val="20"/>
                <w:szCs w:val="20"/>
                <w:lang w:eastAsia="zh-Hans"/>
              </w:rPr>
              <w:t>（得满分）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3FB340D">
            <w:pPr>
              <w:jc w:val="center"/>
              <w:rPr>
                <w:rFonts w:ascii="仿宋_GB2312" w:hAnsi="仿宋_GB2312" w:eastAsia="仿宋_GB2312" w:cs="仿宋_GB2312"/>
                <w:kern w:val="0"/>
                <w:sz w:val="20"/>
                <w:szCs w:val="20"/>
                <w:lang w:eastAsia="zh-Hans"/>
              </w:rPr>
            </w:pPr>
          </w:p>
        </w:tc>
      </w:tr>
      <w:tr w14:paraId="079CED94">
        <w:tblPrEx>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F1C6ED">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694E43">
            <w:pPr>
              <w:jc w:val="center"/>
              <w:rPr>
                <w:rFonts w:ascii="仿宋_GB2312" w:hAnsi="仿宋_GB2312" w:eastAsia="仿宋_GB2312" w:cs="仿宋_GB2312"/>
                <w:kern w:val="0"/>
                <w:sz w:val="20"/>
                <w:szCs w:val="20"/>
                <w:lang w:eastAsia="zh-Hans"/>
              </w:rPr>
            </w:pPr>
          </w:p>
        </w:tc>
        <w:tc>
          <w:tcPr>
            <w:tcW w:w="5876" w:type="dxa"/>
            <w:tcBorders>
              <w:top w:val="nil"/>
              <w:left w:val="nil"/>
              <w:bottom w:val="single" w:color="000000" w:sz="4" w:space="0"/>
              <w:right w:val="nil"/>
            </w:tcBorders>
            <w:vAlign w:val="center"/>
          </w:tcPr>
          <w:p w14:paraId="19EC23DA">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2.要求为</w:t>
            </w:r>
            <w:r>
              <w:rPr>
                <w:rFonts w:hint="eastAsia" w:ascii="仿宋_GB2312" w:hAnsi="仿宋_GB2312" w:eastAsia="仿宋_GB2312" w:cs="仿宋_GB2312"/>
                <w:kern w:val="0"/>
                <w:sz w:val="20"/>
                <w:szCs w:val="20"/>
              </w:rPr>
              <w:t>全新</w:t>
            </w:r>
            <w:r>
              <w:rPr>
                <w:rFonts w:hint="eastAsia" w:ascii="仿宋_GB2312" w:hAnsi="仿宋_GB2312" w:eastAsia="仿宋_GB2312" w:cs="仿宋_GB2312"/>
                <w:kern w:val="0"/>
                <w:sz w:val="20"/>
                <w:szCs w:val="20"/>
                <w:lang w:eastAsia="zh-Hans"/>
              </w:rPr>
              <w:t>配件，但配件非全新配件（扣10分）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282EED">
            <w:pPr>
              <w:jc w:val="center"/>
              <w:rPr>
                <w:rFonts w:ascii="仿宋_GB2312" w:hAnsi="仿宋_GB2312" w:eastAsia="仿宋_GB2312" w:cs="仿宋_GB2312"/>
                <w:kern w:val="0"/>
                <w:sz w:val="20"/>
                <w:szCs w:val="20"/>
                <w:lang w:eastAsia="zh-Hans"/>
              </w:rPr>
            </w:pPr>
          </w:p>
        </w:tc>
      </w:tr>
      <w:tr w14:paraId="7505DA17">
        <w:tblPrEx>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A52F213">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性能检测</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B1D9C4B">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single" w:color="000000" w:sz="4" w:space="0"/>
              <w:left w:val="nil"/>
              <w:bottom w:val="nil"/>
              <w:right w:val="nil"/>
            </w:tcBorders>
            <w:vAlign w:val="center"/>
          </w:tcPr>
          <w:p w14:paraId="4A01B779">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1.按合同要求在规定的时间内完成性能检测（得满分）</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E868B6">
            <w:pPr>
              <w:jc w:val="center"/>
              <w:rPr>
                <w:rFonts w:ascii="仿宋_GB2312" w:hAnsi="仿宋_GB2312" w:eastAsia="仿宋_GB2312" w:cs="仿宋_GB2312"/>
                <w:kern w:val="0"/>
                <w:sz w:val="20"/>
                <w:szCs w:val="20"/>
                <w:lang w:eastAsia="zh-Hans"/>
              </w:rPr>
            </w:pPr>
          </w:p>
        </w:tc>
      </w:tr>
      <w:tr w14:paraId="075DFF3A">
        <w:tblPrEx>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8CAB99">
            <w:pPr>
              <w:jc w:val="center"/>
              <w:rPr>
                <w:rFonts w:ascii="仿宋_GB2312" w:hAnsi="仿宋_GB2312" w:eastAsia="仿宋_GB2312" w:cs="仿宋_GB2312"/>
                <w:kern w:val="0"/>
                <w:sz w:val="20"/>
                <w:szCs w:val="20"/>
                <w:lang w:eastAsia="zh-Hans"/>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A0078A">
            <w:pPr>
              <w:jc w:val="center"/>
              <w:rPr>
                <w:rFonts w:ascii="仿宋_GB2312" w:hAnsi="仿宋_GB2312" w:eastAsia="仿宋_GB2312" w:cs="仿宋_GB2312"/>
                <w:kern w:val="0"/>
                <w:sz w:val="20"/>
                <w:szCs w:val="20"/>
                <w:lang w:eastAsia="zh-Hans"/>
              </w:rPr>
            </w:pPr>
          </w:p>
        </w:tc>
        <w:tc>
          <w:tcPr>
            <w:tcW w:w="5876" w:type="dxa"/>
            <w:tcBorders>
              <w:top w:val="nil"/>
              <w:left w:val="nil"/>
              <w:bottom w:val="nil"/>
              <w:right w:val="nil"/>
            </w:tcBorders>
            <w:vAlign w:val="center"/>
          </w:tcPr>
          <w:p w14:paraId="054E15D3">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2.按合同要求完成性能检测，但未在规定时间内完成性能检测（一次扣5分）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A7E737">
            <w:pPr>
              <w:jc w:val="center"/>
              <w:rPr>
                <w:rFonts w:ascii="仿宋_GB2312" w:hAnsi="仿宋_GB2312" w:eastAsia="仿宋_GB2312" w:cs="仿宋_GB2312"/>
                <w:kern w:val="0"/>
                <w:sz w:val="20"/>
                <w:szCs w:val="20"/>
                <w:lang w:eastAsia="zh-Hans"/>
              </w:rPr>
            </w:pPr>
          </w:p>
        </w:tc>
      </w:tr>
      <w:tr w14:paraId="63063DF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150A2B">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维保质量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3F302">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w:t>
            </w:r>
          </w:p>
        </w:tc>
        <w:tc>
          <w:tcPr>
            <w:tcW w:w="5876" w:type="dxa"/>
            <w:tcBorders>
              <w:top w:val="single" w:color="000000" w:sz="4" w:space="0"/>
              <w:left w:val="single" w:color="000000" w:sz="4" w:space="0"/>
              <w:bottom w:val="single" w:color="000000" w:sz="4" w:space="0"/>
              <w:right w:val="single" w:color="000000" w:sz="4" w:space="0"/>
            </w:tcBorders>
            <w:vAlign w:val="center"/>
          </w:tcPr>
          <w:p w14:paraId="1E50ABF0">
            <w:pPr>
              <w:widowControl/>
              <w:numPr>
                <w:ilvl w:val="255"/>
                <w:numId w:val="0"/>
              </w:numPr>
              <w:jc w:val="left"/>
              <w:textAlignment w:val="center"/>
              <w:rPr>
                <w:rFonts w:hint="eastAsia" w:ascii="仿宋_GB2312" w:hAnsi="仿宋_GB2312" w:eastAsia="仿宋_GB2312" w:cs="仿宋_GB2312"/>
                <w:b w:val="0"/>
                <w:bCs w:val="0"/>
                <w:kern w:val="0"/>
                <w:sz w:val="20"/>
                <w:szCs w:val="20"/>
              </w:rPr>
            </w:pPr>
            <w:r>
              <w:rPr>
                <w:rFonts w:hint="eastAsia" w:ascii="仿宋_GB2312" w:hAnsi="仿宋_GB2312" w:eastAsia="仿宋_GB2312" w:cs="仿宋_GB2312"/>
                <w:b w:val="0"/>
                <w:bCs w:val="0"/>
                <w:kern w:val="0"/>
                <w:sz w:val="20"/>
                <w:szCs w:val="20"/>
              </w:rPr>
              <w:t>1.未发现6个月内同1台设备因同一原因二次维修情况，得满分；</w:t>
            </w:r>
          </w:p>
          <w:p w14:paraId="79FE4FF7">
            <w:pPr>
              <w:widowControl/>
              <w:numPr>
                <w:ilvl w:val="255"/>
                <w:numId w:val="0"/>
              </w:numPr>
              <w:jc w:val="left"/>
              <w:textAlignment w:val="center"/>
              <w:rPr>
                <w:rStyle w:val="11"/>
                <w:rFonts w:hint="eastAsia" w:ascii="仿宋_GB2312" w:hAnsi="仿宋_GB2312" w:eastAsia="仿宋_GB2312" w:cs="仿宋_GB2312"/>
                <w:b w:val="0"/>
                <w:bCs w:val="0"/>
                <w:sz w:val="20"/>
                <w:szCs w:val="20"/>
              </w:rPr>
            </w:pPr>
            <w:r>
              <w:rPr>
                <w:rStyle w:val="11"/>
                <w:rFonts w:hint="eastAsia" w:ascii="仿宋_GB2312" w:hAnsi="仿宋_GB2312" w:eastAsia="仿宋_GB2312" w:cs="仿宋_GB2312"/>
                <w:b w:val="0"/>
                <w:bCs w:val="0"/>
                <w:sz w:val="20"/>
                <w:szCs w:val="20"/>
              </w:rPr>
              <w:t>2.6个月内同一台设备因同一原因进行二次维修情况，发现1次，得5分；</w:t>
            </w:r>
          </w:p>
          <w:p w14:paraId="302A1350">
            <w:pPr>
              <w:widowControl/>
              <w:numPr>
                <w:ilvl w:val="255"/>
                <w:numId w:val="0"/>
              </w:numPr>
              <w:jc w:val="left"/>
              <w:textAlignment w:val="center"/>
              <w:rPr>
                <w:rStyle w:val="11"/>
                <w:rFonts w:hint="eastAsia" w:ascii="方正仿宋_GBK" w:hAnsi="方正仿宋_GBK" w:eastAsia="方正仿宋_GBK" w:cs="方正仿宋_GBK"/>
                <w:b w:val="0"/>
                <w:bCs w:val="0"/>
              </w:rPr>
            </w:pPr>
            <w:r>
              <w:rPr>
                <w:rStyle w:val="11"/>
                <w:rFonts w:hint="eastAsia" w:ascii="仿宋_GB2312" w:hAnsi="仿宋_GB2312" w:eastAsia="仿宋_GB2312" w:cs="仿宋_GB2312"/>
                <w:b w:val="0"/>
                <w:bCs w:val="0"/>
                <w:sz w:val="20"/>
                <w:szCs w:val="20"/>
              </w:rPr>
              <w:t>3.6个月内同一台设备因同一原因进行二次维修情况，发现2次，得0分。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EB86F">
            <w:pPr>
              <w:rPr>
                <w:rFonts w:ascii="仿宋_GB2312" w:hAnsi="仿宋_GB2312" w:eastAsia="仿宋_GB2312" w:cs="仿宋_GB2312"/>
                <w:kern w:val="0"/>
                <w:sz w:val="20"/>
                <w:szCs w:val="20"/>
                <w:lang w:eastAsia="zh-Hans"/>
              </w:rPr>
            </w:pPr>
          </w:p>
        </w:tc>
      </w:tr>
      <w:tr w14:paraId="5A0D27CB">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84C737">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总分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B3436">
            <w:pPr>
              <w:widowControl/>
              <w:jc w:val="center"/>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100</w:t>
            </w:r>
          </w:p>
        </w:tc>
        <w:tc>
          <w:tcPr>
            <w:tcW w:w="5876" w:type="dxa"/>
            <w:tcBorders>
              <w:top w:val="single" w:color="000000" w:sz="4" w:space="0"/>
              <w:left w:val="single" w:color="000000" w:sz="4" w:space="0"/>
              <w:bottom w:val="single" w:color="000000" w:sz="4" w:space="0"/>
              <w:right w:val="single" w:color="000000" w:sz="4" w:space="0"/>
            </w:tcBorders>
            <w:vAlign w:val="center"/>
          </w:tcPr>
          <w:p w14:paraId="3D6EF467">
            <w:pPr>
              <w:widowControl/>
              <w:jc w:val="left"/>
              <w:textAlignment w:val="cente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2F13A">
            <w:pPr>
              <w:rPr>
                <w:rFonts w:ascii="仿宋_GB2312" w:hAnsi="仿宋_GB2312" w:eastAsia="仿宋_GB2312" w:cs="仿宋_GB2312"/>
                <w:kern w:val="0"/>
                <w:sz w:val="20"/>
                <w:szCs w:val="20"/>
                <w:lang w:eastAsia="zh-Hans"/>
              </w:rPr>
            </w:pPr>
          </w:p>
        </w:tc>
      </w:tr>
      <w:tr w14:paraId="37179BE1">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5BC7BE6">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使用科室签字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A08A2">
            <w:pPr>
              <w:rPr>
                <w:rFonts w:ascii="仿宋_GB2312" w:hAnsi="仿宋_GB2312" w:eastAsia="仿宋_GB2312" w:cs="仿宋_GB2312"/>
                <w:kern w:val="0"/>
                <w:sz w:val="20"/>
                <w:szCs w:val="20"/>
                <w:lang w:eastAsia="zh-Han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A2624">
            <w:pPr>
              <w:widowControl/>
              <w:jc w:val="left"/>
              <w:textAlignment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管理科室签字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5ED26">
            <w:pPr>
              <w:rPr>
                <w:rFonts w:ascii="仿宋_GB2312" w:hAnsi="仿宋_GB2312" w:eastAsia="仿宋_GB2312" w:cs="仿宋_GB2312"/>
                <w:kern w:val="0"/>
                <w:sz w:val="20"/>
                <w:szCs w:val="20"/>
                <w:lang w:eastAsia="zh-Hans"/>
              </w:rPr>
            </w:pPr>
          </w:p>
        </w:tc>
      </w:tr>
    </w:tbl>
    <w:p w14:paraId="603EC389">
      <w:pPr>
        <w:pStyle w:val="6"/>
        <w:rPr>
          <w:rFonts w:hint="eastAsia"/>
        </w:rPr>
      </w:pPr>
    </w:p>
    <w:p w14:paraId="6FF751CF">
      <w:pPr>
        <w:spacing w:line="360" w:lineRule="auto"/>
        <w:ind w:firstLine="2530" w:firstLineChars="900"/>
        <w:jc w:val="both"/>
        <w:rPr>
          <w:rFonts w:ascii="Times New Roman" w:hAnsi="Times New Roman" w:cs="Times New Roman"/>
          <w:b/>
          <w:sz w:val="28"/>
          <w:szCs w:val="28"/>
        </w:rPr>
      </w:pPr>
    </w:p>
    <w:p w14:paraId="41EE10EB">
      <w:pPr>
        <w:spacing w:line="360" w:lineRule="auto"/>
        <w:ind w:firstLine="2530" w:firstLineChars="900"/>
        <w:jc w:val="both"/>
        <w:rPr>
          <w:rFonts w:ascii="Times New Roman" w:hAnsi="Times New Roman" w:cs="Times New Roman"/>
          <w:b/>
          <w:sz w:val="28"/>
          <w:szCs w:val="28"/>
        </w:rPr>
      </w:pPr>
      <w:r>
        <w:rPr>
          <w:rFonts w:ascii="Times New Roman" w:hAnsi="Times New Roman" w:cs="Times New Roman"/>
          <w:b/>
          <w:sz w:val="28"/>
          <w:szCs w:val="28"/>
        </w:rPr>
        <w:t>第三章</w:t>
      </w:r>
      <w:r>
        <w:rPr>
          <w:rFonts w:hint="eastAsia" w:ascii="Times New Roman" w:hAnsi="Times New Roman" w:cs="Times New Roman"/>
          <w:b/>
          <w:sz w:val="28"/>
          <w:szCs w:val="28"/>
        </w:rPr>
        <w:t xml:space="preserve">  </w:t>
      </w:r>
      <w:r>
        <w:rPr>
          <w:rFonts w:ascii="Times New Roman" w:hAnsi="Times New Roman" w:cs="Times New Roman"/>
          <w:b/>
          <w:sz w:val="28"/>
          <w:szCs w:val="28"/>
        </w:rPr>
        <w:t>比选程序及评审标准</w:t>
      </w:r>
    </w:p>
    <w:p w14:paraId="76D8A038">
      <w:pPr>
        <w:spacing w:line="360" w:lineRule="auto"/>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14:paraId="0661F6EF">
      <w:pPr>
        <w:spacing w:line="360" w:lineRule="auto"/>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、评选委员会根据评审要求对供应商申报材料进行评审，按</w:t>
      </w:r>
      <w:r>
        <w:rPr>
          <w:rFonts w:hint="eastAsia" w:ascii="Times New Roman" w:hAnsi="Times New Roman" w:eastAsia="方正仿宋_GBK" w:cs="Times New Roman"/>
          <w:sz w:val="28"/>
          <w:szCs w:val="28"/>
          <w:lang w:eastAsia="zh-CN"/>
        </w:rPr>
        <w:t>评分</w:t>
      </w:r>
      <w:r>
        <w:rPr>
          <w:rFonts w:ascii="Times New Roman" w:hAnsi="Times New Roman" w:eastAsia="方正仿宋_GBK" w:cs="Times New Roman"/>
          <w:sz w:val="28"/>
          <w:szCs w:val="28"/>
        </w:rPr>
        <w:t>由</w:t>
      </w:r>
      <w:r>
        <w:rPr>
          <w:rFonts w:hint="eastAsia" w:ascii="Times New Roman" w:hAnsi="Times New Roman" w:eastAsia="方正仿宋_GBK" w:cs="Times New Roman"/>
          <w:sz w:val="28"/>
          <w:szCs w:val="28"/>
          <w:lang w:eastAsia="zh-CN"/>
        </w:rPr>
        <w:t>高</w:t>
      </w:r>
      <w:r>
        <w:rPr>
          <w:rFonts w:ascii="Times New Roman" w:hAnsi="Times New Roman" w:eastAsia="方正仿宋_GBK" w:cs="Times New Roman"/>
          <w:sz w:val="28"/>
          <w:szCs w:val="28"/>
        </w:rPr>
        <w:t>到</w:t>
      </w:r>
      <w:r>
        <w:rPr>
          <w:rFonts w:hint="eastAsia" w:ascii="Times New Roman" w:hAnsi="Times New Roman" w:eastAsia="方正仿宋_GBK" w:cs="Times New Roman"/>
          <w:sz w:val="28"/>
          <w:szCs w:val="28"/>
          <w:lang w:eastAsia="zh-CN"/>
        </w:rPr>
        <w:t>低</w:t>
      </w:r>
      <w:r>
        <w:rPr>
          <w:rFonts w:ascii="Times New Roman" w:hAnsi="Times New Roman" w:eastAsia="方正仿宋_GBK" w:cs="Times New Roman"/>
          <w:sz w:val="28"/>
          <w:szCs w:val="28"/>
        </w:rPr>
        <w:t>排序。由</w:t>
      </w:r>
      <w:r>
        <w:rPr>
          <w:rFonts w:hint="eastAsia" w:ascii="Times New Roman" w:hAnsi="Times New Roman" w:eastAsia="方正仿宋_GBK" w:cs="Times New Roman"/>
          <w:sz w:val="28"/>
          <w:szCs w:val="28"/>
          <w:lang w:eastAsia="zh-CN"/>
        </w:rPr>
        <w:t>评比</w:t>
      </w:r>
      <w:r>
        <w:rPr>
          <w:rFonts w:ascii="Times New Roman" w:hAnsi="Times New Roman" w:eastAsia="方正仿宋_GBK" w:cs="Times New Roman"/>
          <w:sz w:val="28"/>
          <w:szCs w:val="28"/>
        </w:rPr>
        <w:t>委员会确定排序第一的为成交供应商。排名第一的成交供应商放弃成交的，</w:t>
      </w:r>
      <w:r>
        <w:rPr>
          <w:rFonts w:hint="eastAsia" w:ascii="Times New Roman" w:hAnsi="Times New Roman" w:eastAsia="方正仿宋_GBK" w:cs="Times New Roman"/>
          <w:sz w:val="28"/>
          <w:szCs w:val="28"/>
        </w:rPr>
        <w:t>可选择</w:t>
      </w:r>
      <w:r>
        <w:rPr>
          <w:rFonts w:ascii="Times New Roman" w:hAnsi="Times New Roman" w:eastAsia="方正仿宋_GBK" w:cs="Times New Roman"/>
          <w:sz w:val="28"/>
          <w:szCs w:val="28"/>
        </w:rPr>
        <w:t>排名第二的为成交供应商。</w:t>
      </w:r>
    </w:p>
    <w:p w14:paraId="758274E3">
      <w:pPr>
        <w:spacing w:line="360" w:lineRule="auto"/>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三、评分标准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1661"/>
        <w:gridCol w:w="2616"/>
        <w:gridCol w:w="831"/>
        <w:gridCol w:w="748"/>
        <w:gridCol w:w="1661"/>
      </w:tblGrid>
      <w:tr w14:paraId="3DD13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1" w:type="dxa"/>
            <w:gridSpan w:val="2"/>
          </w:tcPr>
          <w:p w14:paraId="4F1C2D28">
            <w:pPr>
              <w:pStyle w:val="21"/>
              <w:jc w:val="center"/>
              <w:rPr>
                <w:rFonts w:hint="default"/>
              </w:rPr>
            </w:pPr>
            <w:r>
              <w:t>评审因素</w:t>
            </w:r>
          </w:p>
        </w:tc>
        <w:tc>
          <w:tcPr>
            <w:tcW w:w="5815" w:type="dxa"/>
            <w:gridSpan w:val="4"/>
          </w:tcPr>
          <w:p w14:paraId="06FD4874">
            <w:pPr>
              <w:pStyle w:val="21"/>
              <w:jc w:val="center"/>
              <w:rPr>
                <w:rFonts w:hint="default"/>
              </w:rPr>
            </w:pPr>
            <w:r>
              <w:t xml:space="preserve"> 评审标准</w:t>
            </w:r>
          </w:p>
        </w:tc>
      </w:tr>
      <w:tr w14:paraId="0E9EE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1" w:type="dxa"/>
            <w:gridSpan w:val="2"/>
          </w:tcPr>
          <w:p w14:paraId="1DABD9CA">
            <w:pPr>
              <w:pStyle w:val="21"/>
              <w:jc w:val="center"/>
              <w:rPr>
                <w:rFonts w:hint="default"/>
              </w:rPr>
            </w:pPr>
            <w:r>
              <w:t xml:space="preserve"> 分值构成</w:t>
            </w:r>
          </w:p>
        </w:tc>
        <w:tc>
          <w:tcPr>
            <w:tcW w:w="5815" w:type="dxa"/>
            <w:gridSpan w:val="4"/>
          </w:tcPr>
          <w:p w14:paraId="64CEE8E8">
            <w:pPr>
              <w:pStyle w:val="21"/>
              <w:rPr>
                <w:rFonts w:hint="default"/>
              </w:rPr>
            </w:pPr>
            <w:r>
              <w:t>详细评审90.00分</w:t>
            </w:r>
          </w:p>
          <w:p w14:paraId="70C9F3E8">
            <w:pPr>
              <w:pStyle w:val="21"/>
              <w:rPr>
                <w:rFonts w:hint="default"/>
              </w:rPr>
            </w:pPr>
            <w:r>
              <w:t>报价得分10.00分</w:t>
            </w:r>
          </w:p>
        </w:tc>
      </w:tr>
      <w:tr w14:paraId="66687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01FC3A40">
            <w:pPr>
              <w:pStyle w:val="21"/>
              <w:jc w:val="center"/>
              <w:rPr>
                <w:rFonts w:hint="default"/>
              </w:rPr>
            </w:pPr>
            <w:r>
              <w:t xml:space="preserve"> 评审因素分类</w:t>
            </w:r>
          </w:p>
        </w:tc>
        <w:tc>
          <w:tcPr>
            <w:tcW w:w="1661" w:type="dxa"/>
          </w:tcPr>
          <w:p w14:paraId="44535742">
            <w:pPr>
              <w:pStyle w:val="21"/>
              <w:jc w:val="center"/>
              <w:rPr>
                <w:rFonts w:hint="default"/>
              </w:rPr>
            </w:pPr>
            <w:r>
              <w:t xml:space="preserve"> 评审内容</w:t>
            </w:r>
          </w:p>
        </w:tc>
        <w:tc>
          <w:tcPr>
            <w:tcW w:w="2575" w:type="dxa"/>
          </w:tcPr>
          <w:p w14:paraId="4C4746AF">
            <w:pPr>
              <w:pStyle w:val="21"/>
              <w:jc w:val="center"/>
              <w:rPr>
                <w:rFonts w:hint="default"/>
              </w:rPr>
            </w:pPr>
            <w:r>
              <w:t xml:space="preserve"> 具体标准和要求</w:t>
            </w:r>
          </w:p>
        </w:tc>
        <w:tc>
          <w:tcPr>
            <w:tcW w:w="831" w:type="dxa"/>
          </w:tcPr>
          <w:p w14:paraId="656F91E5">
            <w:pPr>
              <w:pStyle w:val="21"/>
              <w:jc w:val="center"/>
              <w:rPr>
                <w:rFonts w:hint="default"/>
              </w:rPr>
            </w:pPr>
            <w:r>
              <w:rPr>
                <w:b/>
              </w:rPr>
              <w:t xml:space="preserve"> 评审分值</w:t>
            </w:r>
          </w:p>
        </w:tc>
        <w:tc>
          <w:tcPr>
            <w:tcW w:w="748" w:type="dxa"/>
          </w:tcPr>
          <w:p w14:paraId="043CF4BB">
            <w:pPr>
              <w:pStyle w:val="21"/>
              <w:jc w:val="center"/>
              <w:rPr>
                <w:rFonts w:hint="default"/>
              </w:rPr>
            </w:pPr>
            <w:r>
              <w:t xml:space="preserve"> 客观/主观</w:t>
            </w:r>
          </w:p>
        </w:tc>
        <w:tc>
          <w:tcPr>
            <w:tcW w:w="1661" w:type="dxa"/>
          </w:tcPr>
          <w:p w14:paraId="31856B0C">
            <w:pPr>
              <w:pStyle w:val="21"/>
              <w:jc w:val="center"/>
              <w:rPr>
                <w:rFonts w:hint="default"/>
              </w:rPr>
            </w:pPr>
            <w:r>
              <w:rPr>
                <w:b/>
              </w:rPr>
              <w:t xml:space="preserve"> 关联响应文件格式文本</w:t>
            </w:r>
          </w:p>
        </w:tc>
      </w:tr>
      <w:tr w14:paraId="1C477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restart"/>
          </w:tcPr>
          <w:p w14:paraId="51E7B16A">
            <w:pPr>
              <w:pStyle w:val="21"/>
              <w:rPr>
                <w:rFonts w:hint="default"/>
              </w:rPr>
            </w:pPr>
            <w:r>
              <w:t>详细评审</w:t>
            </w:r>
          </w:p>
        </w:tc>
        <w:tc>
          <w:tcPr>
            <w:tcW w:w="1661" w:type="dxa"/>
          </w:tcPr>
          <w:p w14:paraId="408E1B8E">
            <w:pPr>
              <w:pStyle w:val="21"/>
              <w:rPr>
                <w:rFonts w:hint="default"/>
              </w:rPr>
            </w:pPr>
            <w:r>
              <w:t>技术服务要求</w:t>
            </w:r>
          </w:p>
        </w:tc>
        <w:tc>
          <w:tcPr>
            <w:tcW w:w="2575" w:type="dxa"/>
          </w:tcPr>
          <w:p w14:paraId="26C3ED94">
            <w:pPr>
              <w:pStyle w:val="21"/>
              <w:numPr>
                <w:ilvl w:val="0"/>
                <w:numId w:val="0"/>
              </w:numPr>
              <w:rPr>
                <w:rFonts w:hint="default"/>
              </w:rPr>
            </w:pPr>
            <w:r>
              <w:rPr>
                <w:rFonts w:ascii="仿宋_GB2312" w:hAnsi="仿宋_GB2312" w:eastAsia="仿宋_GB2312" w:cs="仿宋_GB2312"/>
              </w:rPr>
              <w:t>1、供应商针对采购文件“技术要求”</w:t>
            </w:r>
            <w:r>
              <w:rPr>
                <w:rFonts w:hint="eastAsia" w:ascii="仿宋_GB2312" w:hAnsi="仿宋_GB2312" w:eastAsia="仿宋_GB2312" w:cs="仿宋_GB2312"/>
                <w:lang w:val="en-US" w:eastAsia="zh-CN"/>
              </w:rPr>
              <w:t>中</w:t>
            </w:r>
            <w:r>
              <w:rPr>
                <w:rFonts w:ascii="仿宋_GB2312" w:hAnsi="仿宋_GB2312" w:eastAsia="仿宋_GB2312" w:cs="仿宋_GB2312"/>
              </w:rPr>
              <w:t>条款的响应得分规则如下： “▲”技术参数条款响应</w:t>
            </w:r>
            <w:r>
              <w:rPr>
                <w:rFonts w:hint="eastAsia" w:ascii="仿宋_GB2312" w:hAnsi="仿宋_GB2312" w:eastAsia="仿宋_GB2312" w:cs="仿宋_GB2312"/>
                <w:lang w:val="en-US" w:eastAsia="zh-CN"/>
              </w:rPr>
              <w:t>满足</w:t>
            </w:r>
            <w:r>
              <w:rPr>
                <w:rFonts w:ascii="仿宋_GB2312" w:hAnsi="仿宋_GB2312" w:eastAsia="仿宋_GB2312" w:cs="仿宋_GB2312"/>
              </w:rPr>
              <w:t>得分</w:t>
            </w:r>
            <w:r>
              <w:rPr>
                <w:rFonts w:hint="eastAsia" w:ascii="仿宋_GB2312" w:hAnsi="仿宋_GB2312" w:eastAsia="仿宋_GB2312" w:cs="仿宋_GB2312"/>
                <w:lang w:val="en-US" w:eastAsia="zh-CN"/>
              </w:rPr>
              <w:t>每项3分，一般</w:t>
            </w:r>
            <w:r>
              <w:rPr>
                <w:rFonts w:ascii="仿宋_GB2312" w:hAnsi="仿宋_GB2312" w:eastAsia="仿宋_GB2312" w:cs="仿宋_GB2312"/>
              </w:rPr>
              <w:t>技术参数条款响应</w:t>
            </w:r>
            <w:r>
              <w:rPr>
                <w:rFonts w:hint="eastAsia" w:ascii="仿宋_GB2312" w:hAnsi="仿宋_GB2312" w:eastAsia="仿宋_GB2312" w:cs="仿宋_GB2312"/>
                <w:lang w:val="en-US" w:eastAsia="zh-CN"/>
              </w:rPr>
              <w:t>满足</w:t>
            </w:r>
            <w:r>
              <w:rPr>
                <w:rFonts w:ascii="仿宋_GB2312" w:hAnsi="仿宋_GB2312" w:eastAsia="仿宋_GB2312" w:cs="仿宋_GB2312"/>
              </w:rPr>
              <w:t>得分</w:t>
            </w:r>
            <w:r>
              <w:rPr>
                <w:rFonts w:hint="eastAsia" w:ascii="仿宋_GB2312" w:hAnsi="仿宋_GB2312" w:eastAsia="仿宋_GB2312" w:cs="仿宋_GB2312"/>
                <w:lang w:val="en-US" w:eastAsia="zh-CN"/>
              </w:rPr>
              <w:t>每项1分</w:t>
            </w:r>
            <w:r>
              <w:rPr>
                <w:rFonts w:ascii="仿宋_GB2312" w:hAnsi="仿宋_GB2312" w:eastAsia="仿宋_GB2312" w:cs="仿宋_GB2312"/>
              </w:rPr>
              <w:t xml:space="preserve"> 注： ①针对“▲”号技术参数条款的响应，“技术要求”对“▲”号技术参数条款的技术支撑材料有相关要求的，应按要求提供，予以验证技术参数的满足性；否则对应技术参数条款将视为不满足。 ②针对一般技术参数条款的技术响应，如果“技术要求”中对一般技术参数条款有技术支撑材料要求，应按要求提供，否则对应技术参数条款将视为不满足。 ③以一级序号数字（如 “1.”“2.”“3.”……）为一项（标题除外）；数字序号下有多级序号的，以最小级数字序号为一项。 ④“★”号条款为实质性要求，不参与本项评分。 ⑤以上技术支撑材料可编制于投标文件格式-《投标人认为需要提供的其他证明材料》。</w:t>
            </w:r>
          </w:p>
        </w:tc>
        <w:tc>
          <w:tcPr>
            <w:tcW w:w="831" w:type="dxa"/>
          </w:tcPr>
          <w:p w14:paraId="457E1C2F">
            <w:pPr>
              <w:pStyle w:val="21"/>
              <w:jc w:val="center"/>
              <w:rPr>
                <w:rFonts w:hint="default"/>
              </w:rPr>
            </w:pPr>
            <w:r>
              <w:rPr>
                <w:rFonts w:hint="default"/>
                <w:lang w:eastAsia="zh-CN"/>
              </w:rPr>
              <w:t>18</w:t>
            </w:r>
            <w:r>
              <w:t>.00</w:t>
            </w:r>
          </w:p>
        </w:tc>
        <w:tc>
          <w:tcPr>
            <w:tcW w:w="748" w:type="dxa"/>
          </w:tcPr>
          <w:p w14:paraId="120C139D">
            <w:pPr>
              <w:pStyle w:val="21"/>
              <w:jc w:val="center"/>
              <w:rPr>
                <w:rFonts w:hint="default"/>
              </w:rPr>
            </w:pPr>
            <w:r>
              <w:t>客观</w:t>
            </w:r>
          </w:p>
        </w:tc>
        <w:tc>
          <w:tcPr>
            <w:tcW w:w="1661" w:type="dxa"/>
          </w:tcPr>
          <w:p w14:paraId="74592E05">
            <w:pPr>
              <w:pStyle w:val="21"/>
              <w:rPr>
                <w:rFonts w:hint="default"/>
              </w:rPr>
            </w:pPr>
            <w:r>
              <w:rPr>
                <w:rFonts w:ascii="仿宋_GB2312" w:hAnsi="仿宋_GB2312" w:eastAsia="仿宋_GB2312" w:cs="仿宋_GB2312"/>
              </w:rPr>
              <w:t>投标人认为需要提供的其他证明材料</w:t>
            </w:r>
          </w:p>
        </w:tc>
      </w:tr>
      <w:tr w14:paraId="0E25D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7D39A78B"/>
        </w:tc>
        <w:tc>
          <w:tcPr>
            <w:tcW w:w="1661" w:type="dxa"/>
          </w:tcPr>
          <w:p w14:paraId="27DD6CE5">
            <w:pPr>
              <w:pStyle w:val="21"/>
              <w:rPr>
                <w:rFonts w:hint="default"/>
              </w:rPr>
            </w:pPr>
            <w:r>
              <w:t>服务方案</w:t>
            </w:r>
          </w:p>
        </w:tc>
        <w:tc>
          <w:tcPr>
            <w:tcW w:w="2575" w:type="dxa"/>
          </w:tcPr>
          <w:p w14:paraId="74A74828">
            <w:pPr>
              <w:pStyle w:val="21"/>
              <w:rPr>
                <w:rFonts w:hint="default"/>
              </w:rPr>
            </w:pPr>
            <w:r>
              <w:t>根据供应商提供的服务方案进行评审，该内容包含：①维保服务内容；②维保服务计划及流程；③项目团队人员配置及分工；④技术支持方案；⑤维保质量保障措施。完整提供上述</w:t>
            </w:r>
            <w:r>
              <w:rPr>
                <w:rFonts w:hint="default"/>
              </w:rPr>
              <w:t>5</w:t>
            </w:r>
            <w:r>
              <w:t>项内容的得</w:t>
            </w:r>
            <w:r>
              <w:rPr>
                <w:rFonts w:hint="default"/>
              </w:rPr>
              <w:t>40</w:t>
            </w:r>
            <w:r>
              <w:t>分；每缺一项扣</w:t>
            </w:r>
            <w:r>
              <w:rPr>
                <w:rFonts w:hint="default"/>
              </w:rPr>
              <w:t>8</w:t>
            </w:r>
            <w:r>
              <w:t>分，每有一处缺陷的扣</w:t>
            </w:r>
            <w:r>
              <w:rPr>
                <w:rFonts w:hint="default"/>
              </w:rPr>
              <w:t>4</w:t>
            </w:r>
            <w:r>
              <w:t>分，单项内容要素扣减分值不超过</w:t>
            </w:r>
            <w:r>
              <w:rPr>
                <w:rFonts w:hint="default"/>
              </w:rPr>
              <w:t>8</w:t>
            </w:r>
            <w:r>
              <w:t>分。扣完为止。 注：缺陷是指存在项目名称错误、地点区域错误、内容与本项目需求无关、方案内容矛盾、仅有框架或标题、适用的标准（方法）错误、明显复制其他项目内容等任意一种情形。</w:t>
            </w:r>
          </w:p>
        </w:tc>
        <w:tc>
          <w:tcPr>
            <w:tcW w:w="831" w:type="dxa"/>
          </w:tcPr>
          <w:p w14:paraId="508824DC">
            <w:pPr>
              <w:pStyle w:val="21"/>
              <w:jc w:val="center"/>
              <w:rPr>
                <w:rFonts w:hint="default"/>
              </w:rPr>
            </w:pPr>
            <w:r>
              <w:rPr>
                <w:rFonts w:hint="default"/>
              </w:rPr>
              <w:t>4</w:t>
            </w:r>
            <w:r>
              <w:t>0.00</w:t>
            </w:r>
          </w:p>
        </w:tc>
        <w:tc>
          <w:tcPr>
            <w:tcW w:w="748" w:type="dxa"/>
          </w:tcPr>
          <w:p w14:paraId="11FAEF5B">
            <w:pPr>
              <w:pStyle w:val="21"/>
              <w:jc w:val="center"/>
              <w:rPr>
                <w:rFonts w:hint="default"/>
              </w:rPr>
            </w:pPr>
            <w:r>
              <w:t>主观</w:t>
            </w:r>
          </w:p>
        </w:tc>
        <w:tc>
          <w:tcPr>
            <w:tcW w:w="1661" w:type="dxa"/>
          </w:tcPr>
          <w:p w14:paraId="62BD2AF5">
            <w:pPr>
              <w:pStyle w:val="21"/>
              <w:rPr>
                <w:rFonts w:hint="default"/>
              </w:rPr>
            </w:pPr>
            <w:r>
              <w:t>投标人认为需要提供的其他证明材料</w:t>
            </w:r>
          </w:p>
        </w:tc>
      </w:tr>
      <w:tr w14:paraId="7F2C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5D752A5D"/>
        </w:tc>
        <w:tc>
          <w:tcPr>
            <w:tcW w:w="1661" w:type="dxa"/>
          </w:tcPr>
          <w:p w14:paraId="72E70720">
            <w:pPr>
              <w:pStyle w:val="21"/>
              <w:rPr>
                <w:rFonts w:hint="default"/>
              </w:rPr>
            </w:pPr>
            <w:r>
              <w:t>应急方案</w:t>
            </w:r>
          </w:p>
        </w:tc>
        <w:tc>
          <w:tcPr>
            <w:tcW w:w="2575" w:type="dxa"/>
          </w:tcPr>
          <w:p w14:paraId="2409528F">
            <w:pPr>
              <w:pStyle w:val="21"/>
              <w:rPr>
                <w:rFonts w:hint="default"/>
              </w:rPr>
            </w:pPr>
            <w:r>
              <w:t>根据供应商提供的应急方案进行评审，该内容包含：①应急情况分析；②应急措施；③应急响应方式及时间；④应急人员配置。完整提供上述</w:t>
            </w:r>
            <w:r>
              <w:rPr>
                <w:rFonts w:hint="default"/>
              </w:rPr>
              <w:t>4</w:t>
            </w:r>
            <w:r>
              <w:t>项内容的得</w:t>
            </w:r>
            <w:r>
              <w:rPr>
                <w:rFonts w:hint="eastAsia"/>
                <w:lang w:val="en-US" w:eastAsia="zh-CN"/>
              </w:rPr>
              <w:t>24</w:t>
            </w:r>
            <w:r>
              <w:t>分；每缺一项扣</w:t>
            </w:r>
            <w:r>
              <w:rPr>
                <w:rFonts w:hint="eastAsia"/>
                <w:lang w:val="en-US" w:eastAsia="zh-CN"/>
              </w:rPr>
              <w:t>6</w:t>
            </w:r>
            <w:r>
              <w:t>分，每有一处缺陷的扣</w:t>
            </w:r>
            <w:r>
              <w:rPr>
                <w:rFonts w:hint="default"/>
              </w:rPr>
              <w:t>4</w:t>
            </w:r>
            <w:r>
              <w:t>分，单项内容要素扣减分值不超过</w:t>
            </w:r>
            <w:r>
              <w:rPr>
                <w:rFonts w:hint="default"/>
              </w:rPr>
              <w:t>8</w:t>
            </w:r>
            <w:r>
              <w:t>分。扣完为止。 注：缺陷是指存在项目名称错误、地点区域错误、内容与本项目需求无关、方案内容矛盾、仅有框架或标题、适用的标准（方法）错误、明显复制其他项目内容等任意一种情形。</w:t>
            </w:r>
          </w:p>
        </w:tc>
        <w:tc>
          <w:tcPr>
            <w:tcW w:w="831" w:type="dxa"/>
          </w:tcPr>
          <w:p w14:paraId="14B0FC36">
            <w:pPr>
              <w:pStyle w:val="21"/>
              <w:jc w:val="center"/>
              <w:rPr>
                <w:rFonts w:hint="default"/>
              </w:rPr>
            </w:pPr>
            <w:r>
              <w:rPr>
                <w:rFonts w:hint="eastAsia"/>
                <w:lang w:val="en-US" w:eastAsia="zh-CN"/>
              </w:rPr>
              <w:t>24</w:t>
            </w:r>
            <w:r>
              <w:t>.00</w:t>
            </w:r>
          </w:p>
        </w:tc>
        <w:tc>
          <w:tcPr>
            <w:tcW w:w="748" w:type="dxa"/>
          </w:tcPr>
          <w:p w14:paraId="64C8694C">
            <w:pPr>
              <w:pStyle w:val="21"/>
              <w:jc w:val="center"/>
              <w:rPr>
                <w:rFonts w:hint="default"/>
              </w:rPr>
            </w:pPr>
            <w:r>
              <w:t>主观</w:t>
            </w:r>
          </w:p>
        </w:tc>
        <w:tc>
          <w:tcPr>
            <w:tcW w:w="1661" w:type="dxa"/>
          </w:tcPr>
          <w:p w14:paraId="777C85F6">
            <w:pPr>
              <w:pStyle w:val="21"/>
              <w:rPr>
                <w:rFonts w:hint="default"/>
              </w:rPr>
            </w:pPr>
            <w:r>
              <w:t>供应商应提交的相关证明材料</w:t>
            </w:r>
          </w:p>
        </w:tc>
      </w:tr>
      <w:tr w14:paraId="1856D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5C59D057">
            <w:pPr>
              <w:pStyle w:val="21"/>
              <w:rPr>
                <w:rFonts w:hint="eastAsia" w:eastAsiaTheme="minorEastAsia"/>
                <w:lang w:eastAsia="zh-CN"/>
              </w:rPr>
            </w:pPr>
          </w:p>
        </w:tc>
        <w:tc>
          <w:tcPr>
            <w:tcW w:w="1661" w:type="dxa"/>
          </w:tcPr>
          <w:p w14:paraId="7C9A8007">
            <w:pPr>
              <w:pStyle w:val="21"/>
              <w:rPr>
                <w:rFonts w:hint="eastAsia" w:eastAsiaTheme="minorEastAsia"/>
                <w:lang w:eastAsia="zh-CN"/>
              </w:rPr>
            </w:pPr>
            <w:r>
              <w:rPr>
                <w:rFonts w:hint="eastAsia"/>
                <w:lang w:val="en-US" w:eastAsia="zh-CN"/>
              </w:rPr>
              <w:t>原厂授权</w:t>
            </w:r>
          </w:p>
        </w:tc>
        <w:tc>
          <w:tcPr>
            <w:tcW w:w="2575" w:type="dxa"/>
          </w:tcPr>
          <w:p w14:paraId="4E2E985C">
            <w:pPr>
              <w:pStyle w:val="21"/>
              <w:rPr>
                <w:rFonts w:hint="eastAsia" w:eastAsiaTheme="minorEastAsia"/>
                <w:lang w:eastAsia="zh-CN"/>
              </w:rPr>
            </w:pPr>
            <w:r>
              <w:t>满足磋商文件要求且</w:t>
            </w:r>
            <w:r>
              <w:rPr>
                <w:rFonts w:hint="eastAsia"/>
                <w:lang w:val="en-US" w:eastAsia="zh-CN"/>
              </w:rPr>
              <w:t>拥有奥林巴斯原厂授权文件（授权供应商负责奥林巴斯耳鼻喉科内窥镜及周边设备配件的销售业务和售后服务业务）</w:t>
            </w:r>
            <w:r>
              <w:t>为满分。其他</w:t>
            </w:r>
            <w:r>
              <w:rPr>
                <w:rFonts w:hint="eastAsia"/>
                <w:lang w:val="en-US" w:eastAsia="zh-CN"/>
              </w:rPr>
              <w:t>未具有授权文件的</w:t>
            </w:r>
            <w:r>
              <w:t>供应商</w:t>
            </w:r>
            <w:r>
              <w:rPr>
                <w:rFonts w:hint="eastAsia"/>
                <w:lang w:val="en-US" w:eastAsia="zh-CN"/>
              </w:rPr>
              <w:t>不加分</w:t>
            </w:r>
          </w:p>
        </w:tc>
        <w:tc>
          <w:tcPr>
            <w:tcW w:w="831" w:type="dxa"/>
          </w:tcPr>
          <w:p w14:paraId="6C97D929">
            <w:pPr>
              <w:pStyle w:val="21"/>
              <w:jc w:val="center"/>
              <w:rPr>
                <w:rFonts w:hint="default" w:eastAsiaTheme="minorEastAsia"/>
                <w:lang w:val="en-US" w:eastAsia="zh-CN"/>
              </w:rPr>
            </w:pPr>
            <w:r>
              <w:rPr>
                <w:rFonts w:hint="eastAsia"/>
                <w:lang w:val="en-US" w:eastAsia="zh-CN"/>
              </w:rPr>
              <w:t>8.00</w:t>
            </w:r>
          </w:p>
        </w:tc>
        <w:tc>
          <w:tcPr>
            <w:tcW w:w="748" w:type="dxa"/>
          </w:tcPr>
          <w:p w14:paraId="1872EEA3">
            <w:pPr>
              <w:pStyle w:val="21"/>
              <w:jc w:val="center"/>
              <w:rPr>
                <w:rFonts w:hint="default"/>
              </w:rPr>
            </w:pPr>
            <w:r>
              <w:t>客观</w:t>
            </w:r>
          </w:p>
        </w:tc>
        <w:tc>
          <w:tcPr>
            <w:tcW w:w="1661" w:type="dxa"/>
          </w:tcPr>
          <w:p w14:paraId="0C3996B2">
            <w:pPr>
              <w:pStyle w:val="21"/>
              <w:rPr>
                <w:rFonts w:hint="default" w:eastAsiaTheme="minorEastAsia"/>
                <w:lang w:val="en-US" w:eastAsia="zh-CN"/>
              </w:rPr>
            </w:pPr>
            <w:r>
              <w:rPr>
                <w:rFonts w:hint="eastAsia"/>
                <w:lang w:val="en-US" w:eastAsia="zh-CN"/>
              </w:rPr>
              <w:t>奥林巴斯原厂授权文件</w:t>
            </w:r>
          </w:p>
        </w:tc>
      </w:tr>
      <w:tr w14:paraId="5E3D5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9" w:hRule="atLeast"/>
        </w:trPr>
        <w:tc>
          <w:tcPr>
            <w:tcW w:w="830" w:type="dxa"/>
            <w:vAlign w:val="top"/>
          </w:tcPr>
          <w:p w14:paraId="182F5640">
            <w:pPr>
              <w:pStyle w:val="21"/>
            </w:pPr>
            <w:r>
              <w:t>价格分</w:t>
            </w:r>
          </w:p>
        </w:tc>
        <w:tc>
          <w:tcPr>
            <w:tcW w:w="1661" w:type="dxa"/>
            <w:vAlign w:val="top"/>
          </w:tcPr>
          <w:p w14:paraId="2E992DCB">
            <w:pPr>
              <w:pStyle w:val="21"/>
            </w:pPr>
            <w:r>
              <w:t>价格</w:t>
            </w:r>
          </w:p>
        </w:tc>
        <w:tc>
          <w:tcPr>
            <w:tcW w:w="2575" w:type="dxa"/>
            <w:vAlign w:val="top"/>
          </w:tcPr>
          <w:p w14:paraId="4653647C">
            <w:pPr>
              <w:pStyle w:val="21"/>
            </w:pPr>
            <w:r>
              <w:t>满足磋商文件要求且响应价格最低的响应报价为磋商基准价，其价格分为满分。其他供应商的价格分统一按照下列公式计算：磋商报价得分=(磋商基准价／最后磋商报价)*10%*100</w:t>
            </w:r>
          </w:p>
        </w:tc>
        <w:tc>
          <w:tcPr>
            <w:tcW w:w="831" w:type="dxa"/>
            <w:vAlign w:val="top"/>
          </w:tcPr>
          <w:p w14:paraId="2E141B9A">
            <w:pPr>
              <w:pStyle w:val="21"/>
              <w:jc w:val="center"/>
            </w:pPr>
            <w:r>
              <w:t>10.00</w:t>
            </w:r>
          </w:p>
        </w:tc>
        <w:tc>
          <w:tcPr>
            <w:tcW w:w="748" w:type="dxa"/>
            <w:vAlign w:val="top"/>
          </w:tcPr>
          <w:p w14:paraId="77074818">
            <w:pPr>
              <w:pStyle w:val="21"/>
              <w:jc w:val="center"/>
            </w:pPr>
            <w:r>
              <w:t>客观</w:t>
            </w:r>
          </w:p>
        </w:tc>
        <w:tc>
          <w:tcPr>
            <w:tcW w:w="1661" w:type="dxa"/>
            <w:vAlign w:val="top"/>
          </w:tcPr>
          <w:p w14:paraId="5E4DDB4B">
            <w:pPr>
              <w:pStyle w:val="21"/>
            </w:pPr>
            <w:r>
              <w:t>报价表</w:t>
            </w:r>
          </w:p>
        </w:tc>
      </w:tr>
    </w:tbl>
    <w:p w14:paraId="35E35761">
      <w:pPr>
        <w:pStyle w:val="6"/>
        <w:rPr>
          <w:rFonts w:hint="eastAsia"/>
          <w:lang w:eastAsia="zh-CN"/>
        </w:rPr>
      </w:pPr>
    </w:p>
    <w:p w14:paraId="5B283B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w:t>
      </w:r>
      <w:r>
        <w:rPr>
          <w:rFonts w:hint="eastAsia" w:ascii="Times New Roman" w:hAnsi="Times New Roman" w:cs="Times New Roman"/>
          <w:b/>
          <w:sz w:val="28"/>
          <w:szCs w:val="28"/>
        </w:rPr>
        <w:t xml:space="preserve">  </w:t>
      </w:r>
      <w:r>
        <w:rPr>
          <w:rFonts w:ascii="Times New Roman" w:hAnsi="Times New Roman" w:cs="Times New Roman"/>
          <w:b/>
          <w:sz w:val="28"/>
          <w:szCs w:val="28"/>
        </w:rPr>
        <w:t>响应文件要求</w:t>
      </w:r>
    </w:p>
    <w:p w14:paraId="521B2285">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14:paraId="3295F93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14:paraId="798E7CF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w:t>
      </w:r>
      <w:r>
        <w:rPr>
          <w:rFonts w:hint="eastAsia" w:ascii="Times New Roman" w:hAnsi="Times New Roman" w:eastAsia="方正仿宋_GBK" w:cs="Times New Roman"/>
          <w:sz w:val="28"/>
          <w:szCs w:val="28"/>
          <w:lang w:eastAsia="zh-CN"/>
        </w:rPr>
        <w:t>《中华人民共和国政府采购法》</w:t>
      </w:r>
      <w:r>
        <w:rPr>
          <w:rFonts w:ascii="Times New Roman" w:hAnsi="Times New Roman" w:eastAsia="方正仿宋_GBK" w:cs="Times New Roman"/>
          <w:sz w:val="28"/>
          <w:szCs w:val="28"/>
        </w:rPr>
        <w:t>第二十二条的证明材料及相关的承诺函；</w:t>
      </w:r>
    </w:p>
    <w:p w14:paraId="17C84F92">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四、特定要求（资格）证明文件（如有要求）；</w:t>
      </w:r>
    </w:p>
    <w:p w14:paraId="68547176">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五、法定代表人授权委托书（法定代表人本人参加的，不提交）；</w:t>
      </w:r>
    </w:p>
    <w:p w14:paraId="1D00BAA0">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w:t>
      </w:r>
      <w:r>
        <w:rPr>
          <w:rFonts w:hint="eastAsia" w:ascii="Times New Roman" w:hAnsi="Times New Roman" w:eastAsia="方正仿宋_GBK" w:cs="Times New Roman"/>
          <w:sz w:val="28"/>
          <w:szCs w:val="28"/>
        </w:rPr>
        <w:t>服务</w:t>
      </w:r>
      <w:r>
        <w:rPr>
          <w:rFonts w:ascii="Times New Roman" w:hAnsi="Times New Roman" w:eastAsia="方正仿宋_GBK" w:cs="Times New Roman"/>
          <w:sz w:val="28"/>
          <w:szCs w:val="28"/>
        </w:rPr>
        <w:t>要求及商务要求响应文件；</w:t>
      </w:r>
    </w:p>
    <w:p w14:paraId="57948211">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14:paraId="2FF10398">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供应商应保证所提交材料的合法性、真实性和有效性。响应文件需提交正本一份，密封并加盖公章。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703020204020201"/>
    <w:charset w:val="86"/>
    <w:family w:val="swiss"/>
    <w:pitch w:val="default"/>
    <w:sig w:usb0="80000287" w:usb1="0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4BE8A3CC-ABE3-438E-AC99-8A385E0429A8}"/>
  </w:font>
  <w:font w:name="方正仿宋_GBK">
    <w:panose1 w:val="03000509000000000000"/>
    <w:charset w:val="86"/>
    <w:family w:val="script"/>
    <w:pitch w:val="default"/>
    <w:sig w:usb0="00000001" w:usb1="080E0000" w:usb2="00000000" w:usb3="00000000" w:csb0="00040000" w:csb1="00000000"/>
    <w:embedRegular r:id="rId2" w:fontKey="{0CBD113E-6931-470F-AFDE-57140DADED29}"/>
  </w:font>
  <w:font w:name="仿宋_GB2312">
    <w:panose1 w:val="02010609030101010101"/>
    <w:charset w:val="86"/>
    <w:family w:val="modern"/>
    <w:pitch w:val="default"/>
    <w:sig w:usb0="00000001" w:usb1="080E0000" w:usb2="00000000" w:usb3="00000000" w:csb0="00040000" w:csb1="00000000"/>
    <w:embedRegular r:id="rId3" w:fontKey="{FB98ED84-5762-4A21-8F82-8259BE0C75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DZmOGZhZmQwNjUyOGYwOTBhMTE4ZWJiMTc3ZmIifQ=="/>
  </w:docVars>
  <w:rsids>
    <w:rsidRoot w:val="00904C83"/>
    <w:rsid w:val="000C74FC"/>
    <w:rsid w:val="008B76DF"/>
    <w:rsid w:val="00904C83"/>
    <w:rsid w:val="0315158F"/>
    <w:rsid w:val="04607E9A"/>
    <w:rsid w:val="070B4DB8"/>
    <w:rsid w:val="07373DAC"/>
    <w:rsid w:val="07A22499"/>
    <w:rsid w:val="0A893301"/>
    <w:rsid w:val="0CAE7634"/>
    <w:rsid w:val="0D2413EB"/>
    <w:rsid w:val="0D38142E"/>
    <w:rsid w:val="0E9B574F"/>
    <w:rsid w:val="0FF96BD2"/>
    <w:rsid w:val="11D07A25"/>
    <w:rsid w:val="123B6917"/>
    <w:rsid w:val="12812212"/>
    <w:rsid w:val="12E00606"/>
    <w:rsid w:val="130D2F59"/>
    <w:rsid w:val="134D425F"/>
    <w:rsid w:val="145735B3"/>
    <w:rsid w:val="155D7127"/>
    <w:rsid w:val="16787D4B"/>
    <w:rsid w:val="1768590F"/>
    <w:rsid w:val="191A70DD"/>
    <w:rsid w:val="19F139AD"/>
    <w:rsid w:val="1AC67CAC"/>
    <w:rsid w:val="1B185BF7"/>
    <w:rsid w:val="1C2E206B"/>
    <w:rsid w:val="1FB931AC"/>
    <w:rsid w:val="20DD75C0"/>
    <w:rsid w:val="21814EB8"/>
    <w:rsid w:val="22E713D0"/>
    <w:rsid w:val="23A710EC"/>
    <w:rsid w:val="24DD1ABB"/>
    <w:rsid w:val="25051C37"/>
    <w:rsid w:val="25280D20"/>
    <w:rsid w:val="25485D6F"/>
    <w:rsid w:val="298F76DF"/>
    <w:rsid w:val="2A65738E"/>
    <w:rsid w:val="2C2A429A"/>
    <w:rsid w:val="2C46226B"/>
    <w:rsid w:val="2C9E3E55"/>
    <w:rsid w:val="2CDB4230"/>
    <w:rsid w:val="2CF95873"/>
    <w:rsid w:val="2D790835"/>
    <w:rsid w:val="2DDB1E04"/>
    <w:rsid w:val="2F182598"/>
    <w:rsid w:val="304C3BC8"/>
    <w:rsid w:val="327318E0"/>
    <w:rsid w:val="327A1C3B"/>
    <w:rsid w:val="328079FA"/>
    <w:rsid w:val="33DF6B01"/>
    <w:rsid w:val="3651018A"/>
    <w:rsid w:val="36A71B58"/>
    <w:rsid w:val="38CC7F9C"/>
    <w:rsid w:val="38D458B7"/>
    <w:rsid w:val="39E90A30"/>
    <w:rsid w:val="39F6132E"/>
    <w:rsid w:val="3C3814A4"/>
    <w:rsid w:val="407B1C23"/>
    <w:rsid w:val="40E131EE"/>
    <w:rsid w:val="412E1D2A"/>
    <w:rsid w:val="429513FF"/>
    <w:rsid w:val="42FB45E4"/>
    <w:rsid w:val="43482915"/>
    <w:rsid w:val="45D71D2E"/>
    <w:rsid w:val="478B1824"/>
    <w:rsid w:val="48541414"/>
    <w:rsid w:val="48E1372A"/>
    <w:rsid w:val="4D5A321C"/>
    <w:rsid w:val="4D69668F"/>
    <w:rsid w:val="4E7E1BDE"/>
    <w:rsid w:val="4E901393"/>
    <w:rsid w:val="4F073EC1"/>
    <w:rsid w:val="4F3F7773"/>
    <w:rsid w:val="50092FAD"/>
    <w:rsid w:val="51132150"/>
    <w:rsid w:val="520B4A1A"/>
    <w:rsid w:val="53360050"/>
    <w:rsid w:val="53D004E8"/>
    <w:rsid w:val="54AB13C7"/>
    <w:rsid w:val="57CB1AB0"/>
    <w:rsid w:val="582651DF"/>
    <w:rsid w:val="58B34744"/>
    <w:rsid w:val="5B8A3B40"/>
    <w:rsid w:val="60261490"/>
    <w:rsid w:val="606D3467"/>
    <w:rsid w:val="617D18B4"/>
    <w:rsid w:val="64780AA3"/>
    <w:rsid w:val="64F45B39"/>
    <w:rsid w:val="64F8164D"/>
    <w:rsid w:val="655A71E2"/>
    <w:rsid w:val="65757142"/>
    <w:rsid w:val="66EA76BB"/>
    <w:rsid w:val="68B735CD"/>
    <w:rsid w:val="69601EB7"/>
    <w:rsid w:val="69E07DF2"/>
    <w:rsid w:val="6BE40BA8"/>
    <w:rsid w:val="6CB30550"/>
    <w:rsid w:val="6DDC27CA"/>
    <w:rsid w:val="6EBD68AF"/>
    <w:rsid w:val="6EF9434B"/>
    <w:rsid w:val="7007308C"/>
    <w:rsid w:val="717C53B4"/>
    <w:rsid w:val="725400DF"/>
    <w:rsid w:val="72583FC5"/>
    <w:rsid w:val="754A0ACB"/>
    <w:rsid w:val="75E55862"/>
    <w:rsid w:val="762322A2"/>
    <w:rsid w:val="77CB0E43"/>
    <w:rsid w:val="78A07BDA"/>
    <w:rsid w:val="78E05666"/>
    <w:rsid w:val="7A543372"/>
    <w:rsid w:val="7A835A05"/>
    <w:rsid w:val="7B1B7C8E"/>
    <w:rsid w:val="7C482A62"/>
    <w:rsid w:val="7C7D590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3">
    <w:name w:val="heading 4"/>
    <w:basedOn w:val="1"/>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4">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ody Text"/>
    <w:basedOn w:val="1"/>
    <w:next w:val="1"/>
    <w:qFormat/>
    <w:uiPriority w:val="99"/>
    <w:pPr>
      <w:spacing w:after="120"/>
    </w:pPr>
  </w:style>
  <w:style w:type="paragraph" w:styleId="7">
    <w:name w:val="annotation subject"/>
    <w:basedOn w:val="5"/>
    <w:next w:val="5"/>
    <w:link w:val="20"/>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BodyText"/>
    <w:basedOn w:val="1"/>
    <w:qFormat/>
    <w:uiPriority w:val="0"/>
    <w:pPr>
      <w:spacing w:after="120"/>
    </w:pPr>
    <w:rPr>
      <w:rFonts w:eastAsia="Calibri"/>
      <w:color w:val="000000"/>
      <w:sz w:val="24"/>
      <w:lang w:val="zh-TW" w:eastAsia="zh-TW"/>
    </w:rPr>
  </w:style>
  <w:style w:type="paragraph" w:customStyle="1" w:styleId="13">
    <w:name w:val="无间隔1"/>
    <w:basedOn w:val="1"/>
    <w:qFormat/>
    <w:uiPriority w:val="99"/>
    <w:pPr>
      <w:spacing w:line="400" w:lineRule="exact"/>
    </w:pPr>
    <w:rPr>
      <w:sz w:val="24"/>
    </w:rPr>
  </w:style>
  <w:style w:type="paragraph" w:customStyle="1" w:styleId="14">
    <w:name w:val="Table Text"/>
    <w:basedOn w:val="1"/>
    <w:qFormat/>
    <w:uiPriority w:val="0"/>
    <w:rPr>
      <w:rFonts w:ascii="Arial" w:hAnsi="Arial" w:eastAsia="Arial" w:cs="Arial"/>
      <w:sz w:val="14"/>
      <w:szCs w:val="14"/>
      <w:lang w:eastAsia="en-US"/>
    </w:rPr>
  </w:style>
  <w:style w:type="character" w:customStyle="1" w:styleId="15">
    <w:name w:val="font81"/>
    <w:basedOn w:val="10"/>
    <w:qFormat/>
    <w:uiPriority w:val="0"/>
    <w:rPr>
      <w:rFonts w:hint="eastAsia" w:ascii="微软雅黑" w:hAnsi="微软雅黑" w:eastAsia="微软雅黑" w:cs="微软雅黑"/>
      <w:color w:val="000000"/>
      <w:sz w:val="24"/>
      <w:szCs w:val="24"/>
      <w:u w:val="none"/>
      <w:vertAlign w:val="superscript"/>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styleId="18">
    <w:name w:val="List Paragraph"/>
    <w:basedOn w:val="1"/>
    <w:qFormat/>
    <w:uiPriority w:val="99"/>
    <w:pPr>
      <w:ind w:firstLine="420" w:firstLineChars="200"/>
    </w:pPr>
  </w:style>
  <w:style w:type="character" w:customStyle="1" w:styleId="19">
    <w:name w:val="批注文字 字符"/>
    <w:basedOn w:val="10"/>
    <w:link w:val="5"/>
    <w:qFormat/>
    <w:uiPriority w:val="0"/>
    <w:rPr>
      <w:rFonts w:ascii="Calibri" w:hAnsi="Calibri" w:cs="宋体"/>
      <w:kern w:val="2"/>
      <w:sz w:val="21"/>
      <w:szCs w:val="24"/>
    </w:rPr>
  </w:style>
  <w:style w:type="character" w:customStyle="1" w:styleId="20">
    <w:name w:val="批注主题 字符"/>
    <w:basedOn w:val="19"/>
    <w:link w:val="7"/>
    <w:qFormat/>
    <w:uiPriority w:val="0"/>
    <w:rPr>
      <w:rFonts w:ascii="Calibri" w:hAnsi="Calibri" w:cs="宋体"/>
      <w:b/>
      <w:bCs/>
      <w:kern w:val="2"/>
      <w:sz w:val="21"/>
      <w:szCs w:val="24"/>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contractReview xmlns="http://schemas.wps.cn/vas-ai-hub/contract-review">
  <reviewItems>
    <reviewItem>
      <errorID>626c7c8b-a60f-4e6b-816d-c9ea1d9908e0</errorID>
      <errorWord>,</errorWord>
      <group>L1_AI</group>
      <groupName>深度校对</groupName>
      <ability>L2_AI_Punc</ability>
      <abilityName>标点纠错</abilityName>
      <candidateList>
        <item>，</item>
      </candidateList>
      <explain/>
      <paraID>46DBD3BA</paraID>
      <start>9</start>
      <end>10</end>
      <status>ignored</status>
      <modifiedWord/>
      <trackRevisions>false</trackRevisions>
    </reviewItem>
    <reviewItem>
      <errorID>050075a1-7514-4c3a-a311-9a26864099f7</errorID>
      <errorWord>之</errorWord>
      <group>L1_AI</group>
      <groupName>深度校对</groupName>
      <ability>L2_AI_Word</ability>
      <abilityName>字词纠错</abilityName>
      <candidateList>
        <item>的</item>
      </candidateList>
      <explain/>
      <paraID>3D272535</paraID>
      <start>23</start>
      <end>24</end>
      <status>ignored</status>
      <modifiedWord/>
      <trackRevisions>false</trackRevisions>
    </reviewItem>
    <reviewItem>
      <errorID>3691fba5-5748-4b35-bf54-30b506c88c90</errorID>
      <errorWord>按</errorWord>
      <group>L1_AI</group>
      <groupName>深度校对</groupName>
      <ability>L2_AI_Word</ability>
      <abilityName>字词纠错</abilityName>
      <candidateList>
        <item>在</item>
      </candidateList>
      <explain/>
      <paraID>68EC05F9</paraID>
      <start>0</start>
      <end>1</end>
      <status>modified</status>
      <modifiedWord>在</modifiedWord>
      <trackRevisions>false</trackRevisions>
    </reviewItem>
    <reviewItem>
      <errorID>2c83d3ba-e056-4c19-a091-62e38bf8c710</errorID>
      <errorWord>提交</errorWord>
      <group>L1_AI</group>
      <groupName>深度校对</groupName>
      <ability>L2_AI_Word</ability>
      <abilityName>字词纠错</abilityName>
      <candidateList>
        <item>内提交</item>
      </candidateList>
      <explain/>
      <paraID>68EC05F9</paraID>
      <start>5</start>
      <end>8</end>
      <status>modified</status>
      <modifiedWord>内提交</modifiedWord>
      <trackRevisions>false</trackRevisions>
    </reviewItem>
    <reviewItem>
      <errorID>bb444ede-31ad-4933-8950-adc7a180bd66</errorID>
      <errorWord>安全</errorWord>
      <group>L1_AI</group>
      <groupName>深度校对</groupName>
      <ability>L2_AI_Grammar</ability>
      <abilityName>语法纠错</abilityName>
      <candidateList>
        <item>根据安全</item>
      </candidateList>
      <explain/>
      <paraID>1F0E6F51</paraID>
      <start>2</start>
      <end>6</end>
      <status>modified</status>
      <modifiedWord>根据安全</modifiedWord>
      <trackRevisions>false</trackRevisions>
    </reviewItem>
    <reviewItem>
      <errorID>9adf6d9b-bb82-4762-9c7b-2516e4e48bef</errorID>
      <errorWord>如</errorWord>
      <group>L1_AI</group>
      <groupName>深度校对</groupName>
      <ability>L2_AI_Punc</ability>
      <abilityName>标点纠错</abilityName>
      <candidateList>
        <item>；如</item>
      </candidateList>
      <explain/>
      <paraID>206AC0AC</paraID>
      <start>72</start>
      <end>73</end>
      <status>unmodified</status>
      <modifiedWord/>
      <trackRevisions>false</trackRevisions>
    </reviewItem>
    <reviewItem>
      <errorID>b317efbf-45b5-465f-984b-51107a454826</errorID>
      <errorWord>）</errorWord>
      <group>L1_AI</group>
      <groupName>深度校对</groupName>
      <ability>L2_AI_Punc</ability>
      <abilityName>标点纠错</abilityName>
      <candidateList>
        <item>）。</item>
      </candidateList>
      <explain/>
      <paraID>206AC0AC</paraID>
      <start>93</start>
      <end>94</end>
      <status>unmodified</status>
      <modifiedWord/>
      <trackRevisions>false</trackRevisions>
    </reviewItem>
    <reviewItem>
      <errorID>7c6fa584-470c-43d8-816e-d36b5ba774d8</errorID>
      <errorWord>评比</errorWord>
      <group>L1_AI</group>
      <groupName>深度校对</groupName>
      <ability>L2_AI_Word</ability>
      <abilityName>字词纠错</abilityName>
      <candidateList>
        <item>评标</item>
      </candidateList>
      <explain/>
      <paraID> 661F6EF</paraID>
      <start>37</start>
      <end>39</end>
      <status>unmodified</status>
      <modifiedWord/>
      <trackRevisions>false</trackRevisions>
    </reviewItem>
    <reviewItem>
      <errorID>caede0d8-adee-4ce6-aadb-574ff6dab14c</errorID>
      <errorWord>不仅</errorWord>
      <group>L1_AI</group>
      <groupName>深度校对</groupName>
      <ability>L2_AI_Word</ability>
      <abilityName>字词纠错</abilityName>
      <candidateList>
        <item>不</item>
      </candidateList>
      <explain/>
      <paraID>4A84CD67</paraID>
      <start>31</start>
      <end>33</end>
      <status>unmodified</status>
      <modifiedWord/>
      <trackRevisions>false</trackRevisions>
    </reviewItem>
    <reviewItem>
      <errorID>d81471e8-6eef-4619-9a22-e0042f3b4331</errorID>
      <errorWord>，</errorWord>
      <group>L1_AI</group>
      <groupName>深度校对</groupName>
      <ability>L2_AI_Grammar</ability>
      <abilityName>语法纠错</abilityName>
      <candidateList>
        <item>，最多得9分。</item>
      </candidateList>
      <explain/>
      <paraID>6D0586E8</paraID>
      <start>144</start>
      <end>145</end>
      <status>unmodified</status>
      <modifiedWord/>
      <trackRevisions>false</trackRevisions>
    </reviewItem>
    <reviewItem>
      <errorID>03c1cdab-6f23-4c2a-99dc-64176732b4fa</errorID>
      <errorWord>，</errorWord>
      <group>L1_AI</group>
      <groupName>深度校对</groupName>
      <ability>L2_AI_Grammar</ability>
      <abilityName>语法纠错</abilityName>
      <candidateList>
        <item>，本项最多得24分。</item>
      </candidateList>
      <explain/>
      <paraID>2F3DF4A9</paraID>
      <start>55</start>
      <end>56</end>
      <status>unmodified</status>
      <modifiedWord/>
      <trackRevisions>false</trackRevisions>
    </reviewItem>
    <reviewItem>
      <errorID>55bbfddb-46d9-46a3-88c0-bff81168400b</errorID>
      <errorWord>得</errorWord>
      <group>L1_AI</group>
      <groupName>深度校对</groupName>
      <ability>L2_AI_Grammar</ability>
      <abilityName>语法纠错</abilityName>
      <candidateList>
        <item>的人员得</item>
      </candidateList>
      <explain/>
      <paraID>64D5C621</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582858DE-F081-47A0-A039-999DF7E38181}">
  <ds:schemaRefs/>
</ds:datastoreItem>
</file>

<file path=customXml/itemProps2.xml><?xml version="1.0" encoding="utf-8"?>
<ds:datastoreItem xmlns:ds="http://schemas.openxmlformats.org/officeDocument/2006/customXml" ds:itemID="{9cea518f-b3b5-48bd-a25e-e1350fb8146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3539</Words>
  <Characters>3672</Characters>
  <Lines>20</Lines>
  <Paragraphs>5</Paragraphs>
  <TotalTime>0</TotalTime>
  <ScaleCrop>false</ScaleCrop>
  <LinksUpToDate>false</LinksUpToDate>
  <CharactersWithSpaces>3694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董骁勇</cp:lastModifiedBy>
  <cp:lastPrinted>2026-05-22T07:10:00Z</cp:lastPrinted>
  <dcterms:modified xsi:type="dcterms:W3CDTF">2026-06-03T06:18:35Z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4CA5C18E0FDA49208C60E4885251B7AD_13</vt:lpwstr>
  </property>
  <property fmtid="{D5CDD505-2E9C-101B-9397-08002B2CF9AE}" pid="4" name="KSOTemplateDocerSaveRecord">
    <vt:lpwstr>eyJoZGlkIjoiMTQwYTdmNjIwN2ZhNDZkMjQyY2RhZjVkZWZhNjc0ZTIiLCJ1c2VySWQiOiIxNTY4MzYzODM3In0=</vt:lpwstr>
  </property>
</Properties>
</file>