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94DE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危险废物委托收集、贮存、处置技术服务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采购项目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（第二次）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危险废物委托收集、贮存、处置技术服务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公司营业执照上需具有转运和处置化学性废物、废活性炭及污水检测废液等危险废物的资质。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之前（允许以邮寄方式提交）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要求（实质性要求）</w:t>
      </w:r>
    </w:p>
    <w:p w14:paraId="024C59BD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根据国家《医疗废物管理条例》（中华人民共和国国务院令第380号）、《医疗机构水污染排放标准》（GB18466-2005）、《医疗废物分类目录》（卫医发〔2021〕238号）的规定，化学性废物、废活性炭及污水检测废液等危险废物，需按环保要求进行合法、合规转运、处置并生成《危险废物电子转移联单》。</w:t>
      </w:r>
    </w:p>
    <w:p w14:paraId="2B5932C3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2.在医院内转运时必须沿医院指定的污物通道内进行转运。</w:t>
      </w:r>
    </w:p>
    <w:p w14:paraId="384CB34B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3.能保证医疗危险废物密封转运，医疗危险废物若洒落地面必须及时清洁并按规范进行处理。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因转运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不当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造成医疗废物泄露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导致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环境污染、人员伤亡的，由供应商承担全部责任。</w:t>
      </w:r>
    </w:p>
    <w:p w14:paraId="40C4053D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4.转运出医院的医疗危险废物按照符合国家环保要求的方式进行处置。</w:t>
      </w:r>
    </w:p>
    <w:p w14:paraId="5E3AC5D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5.每年转运1次，具体转运时间由双方协商确定。</w:t>
      </w:r>
    </w:p>
    <w:p w14:paraId="1ED50447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6.报价清单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996"/>
        <w:gridCol w:w="2219"/>
        <w:gridCol w:w="1300"/>
        <w:gridCol w:w="1300"/>
        <w:gridCol w:w="1300"/>
      </w:tblGrid>
      <w:tr w14:paraId="40D2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废物代码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危废名称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形态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单价</w:t>
            </w:r>
          </w:p>
        </w:tc>
      </w:tr>
      <w:tr w14:paraId="3EBF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841-004-01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化学性废液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液体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62B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900-039-49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废活性炭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固体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654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900-047-49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在线监测废液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液体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25C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水银温度计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固体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元/根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5587BBC3">
      <w:pPr>
        <w:pStyle w:val="12"/>
        <w:rPr>
          <w:rFonts w:hint="default"/>
          <w:lang w:val="en-US" w:eastAsia="zh-CN"/>
        </w:rPr>
      </w:pP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结算方式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按单价据实结算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危险废物批次转移完成后3个工作日内甲乙双方进行对账确认，乙方根据确认的对账单开具增值税发票，甲方收到发票之日起30日内（如遇节假日顺延）向乙方支付该批次危险废物收集处置服务费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单价合计</w:t>
      </w:r>
      <w:r>
        <w:rPr>
          <w:rFonts w:ascii="Times New Roman" w:hAnsi="Times New Roman" w:eastAsia="方正仿宋_GBK" w:cs="Times New Roman"/>
          <w:sz w:val="28"/>
          <w:szCs w:val="28"/>
        </w:rPr>
        <w:t>报价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（需分项报价）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</w:t>
      </w:r>
      <w:bookmarkStart w:id="0" w:name="_GoBack"/>
      <w:r>
        <w:rPr>
          <w:rFonts w:ascii="Times New Roman" w:hAnsi="Times New Roman" w:eastAsia="方正仿宋_GBK" w:cs="Times New Roman"/>
          <w:sz w:val="28"/>
          <w:szCs w:val="28"/>
        </w:rPr>
        <w:t>特定要求（资格）证明文件（如有要求）</w:t>
      </w:r>
      <w:bookmarkEnd w:id="0"/>
      <w:r>
        <w:rPr>
          <w:rFonts w:ascii="Times New Roman" w:hAnsi="Times New Roman" w:eastAsia="方正仿宋_GBK" w:cs="Times New Roman"/>
          <w:sz w:val="28"/>
          <w:szCs w:val="28"/>
        </w:rPr>
        <w:t>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1" w:fontKey="{B57098F6-62AE-4C51-9B55-5424E360723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7FC36AB-D86B-4854-94C2-263D936730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7373DAC"/>
    <w:rsid w:val="0A893301"/>
    <w:rsid w:val="0CAE7634"/>
    <w:rsid w:val="0D38142E"/>
    <w:rsid w:val="0E9B574F"/>
    <w:rsid w:val="11D07A25"/>
    <w:rsid w:val="12E00606"/>
    <w:rsid w:val="16787D4B"/>
    <w:rsid w:val="19F139AD"/>
    <w:rsid w:val="1AC67CAC"/>
    <w:rsid w:val="23A710EC"/>
    <w:rsid w:val="298F76DF"/>
    <w:rsid w:val="2DDB1E04"/>
    <w:rsid w:val="328079FA"/>
    <w:rsid w:val="3651018A"/>
    <w:rsid w:val="38D458B7"/>
    <w:rsid w:val="3C3814A4"/>
    <w:rsid w:val="412E1D2A"/>
    <w:rsid w:val="429513FF"/>
    <w:rsid w:val="478B1824"/>
    <w:rsid w:val="48E1372A"/>
    <w:rsid w:val="4D5A321C"/>
    <w:rsid w:val="4E7E1BDE"/>
    <w:rsid w:val="50092FAD"/>
    <w:rsid w:val="51132150"/>
    <w:rsid w:val="520B4A1A"/>
    <w:rsid w:val="53360050"/>
    <w:rsid w:val="57CB1AB0"/>
    <w:rsid w:val="582651DF"/>
    <w:rsid w:val="5B8A3B40"/>
    <w:rsid w:val="606D3467"/>
    <w:rsid w:val="617D18B4"/>
    <w:rsid w:val="64780AA3"/>
    <w:rsid w:val="69E07DF2"/>
    <w:rsid w:val="6EBD68AF"/>
    <w:rsid w:val="72583FC5"/>
    <w:rsid w:val="75E55862"/>
    <w:rsid w:val="762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annotation subject"/>
    <w:basedOn w:val="6"/>
    <w:next w:val="6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1388</Words>
  <Characters>1485</Characters>
  <Lines>20</Lines>
  <Paragraphs>5</Paragraphs>
  <TotalTime>3</TotalTime>
  <ScaleCrop>false</ScaleCrop>
  <LinksUpToDate>false</LinksUpToDate>
  <CharactersWithSpaces>1499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以恒</cp:lastModifiedBy>
  <cp:lastPrinted>2025-10-09T09:09:00Z</cp:lastPrinted>
  <dcterms:modified xsi:type="dcterms:W3CDTF">2026-04-02T02:17:25Z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D39DD939023A43DBA85DE85C3968B6CC_13</vt:lpwstr>
  </property>
  <property fmtid="{D5CDD505-2E9C-101B-9397-08002B2CF9AE}" pid="4" name="KSOTemplateDocerSaveRecord">
    <vt:lpwstr>eyJoZGlkIjoiYzYyZGEwMTg5NDA3NmZkOWIwODFjOWQxMDY4ZWIzNzYiLCJ1c2VySWQiOiI1OTAwOTQxOTQifQ==</vt:lpwstr>
  </property>
</Properties>
</file>