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2F461F">
      <w:pPr>
        <w:spacing w:line="578" w:lineRule="exact"/>
        <w:jc w:val="center"/>
        <w:outlineLvl w:val="0"/>
        <w:rPr>
          <w:rFonts w:hint="default" w:ascii="Times New Roman" w:hAnsi="Times New Roman" w:eastAsia="方正小标宋_GBK" w:cs="Times New Roman"/>
          <w:bCs/>
          <w:sz w:val="44"/>
          <w:szCs w:val="44"/>
        </w:rPr>
      </w:pPr>
      <w:r>
        <w:rPr>
          <w:rFonts w:hint="default" w:ascii="Times New Roman" w:hAnsi="Times New Roman" w:eastAsia="方正小标宋_GBK" w:cs="Times New Roman"/>
          <w:bCs/>
          <w:sz w:val="44"/>
          <w:szCs w:val="44"/>
        </w:rPr>
        <w:t>成都市龙泉驿区中医医院</w:t>
      </w:r>
    </w:p>
    <w:p w14:paraId="3F67F528">
      <w:pPr>
        <w:spacing w:line="578" w:lineRule="exact"/>
        <w:jc w:val="center"/>
        <w:outlineLvl w:val="0"/>
        <w:rPr>
          <w:rFonts w:hint="default" w:ascii="Times New Roman" w:hAnsi="Times New Roman" w:eastAsia="方正小标宋_GBK" w:cs="Times New Roman"/>
          <w:bCs/>
          <w:sz w:val="44"/>
          <w:szCs w:val="44"/>
          <w:lang w:val="en-US" w:eastAsia="zh-CN"/>
        </w:rPr>
      </w:pPr>
      <w:r>
        <w:rPr>
          <w:rFonts w:hint="eastAsia" w:ascii="Times New Roman" w:hAnsi="Times New Roman" w:eastAsia="方正小标宋_GBK" w:cs="Times New Roman"/>
          <w:bCs/>
          <w:sz w:val="44"/>
          <w:szCs w:val="44"/>
          <w:lang w:val="en-US" w:eastAsia="zh-CN"/>
        </w:rPr>
        <w:t>财政电子票据服务采购项目</w:t>
      </w:r>
      <w:r>
        <w:rPr>
          <w:rFonts w:hint="default" w:ascii="Times New Roman" w:hAnsi="Times New Roman" w:eastAsia="方正小标宋_GBK" w:cs="Times New Roman"/>
          <w:bCs/>
          <w:sz w:val="44"/>
          <w:szCs w:val="44"/>
        </w:rPr>
        <w:t>比选文件</w:t>
      </w:r>
    </w:p>
    <w:p w14:paraId="72F778CB">
      <w:pPr>
        <w:spacing w:line="36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第一章</w:t>
      </w:r>
      <w:r>
        <w:rPr>
          <w:rFonts w:hint="eastAsia" w:ascii="Times New Roman" w:hAnsi="Times New Roman" w:cs="Times New Roman"/>
          <w:b/>
          <w:sz w:val="28"/>
          <w:szCs w:val="28"/>
          <w:lang w:val="en-US" w:eastAsia="zh-CN"/>
        </w:rPr>
        <w:t xml:space="preserve">  </w:t>
      </w:r>
      <w:r>
        <w:rPr>
          <w:rFonts w:hint="default" w:ascii="Times New Roman" w:hAnsi="Times New Roman" w:cs="Times New Roman"/>
          <w:b/>
          <w:sz w:val="28"/>
          <w:szCs w:val="28"/>
        </w:rPr>
        <w:t>比选要求</w:t>
      </w:r>
    </w:p>
    <w:p w14:paraId="2AAB4F68">
      <w:pPr>
        <w:spacing w:line="360" w:lineRule="auto"/>
        <w:ind w:firstLine="562" w:firstLineChars="200"/>
        <w:jc w:val="left"/>
        <w:rPr>
          <w:rFonts w:hint="default" w:ascii="Times New Roman" w:hAnsi="Times New Roman" w:cs="Times New Roman"/>
          <w:b w:val="0"/>
          <w:bCs w:val="0"/>
          <w:sz w:val="28"/>
          <w:szCs w:val="28"/>
        </w:rPr>
      </w:pPr>
      <w:r>
        <w:rPr>
          <w:rFonts w:hint="default" w:ascii="Times New Roman" w:hAnsi="Times New Roman" w:cs="Times New Roman"/>
          <w:b/>
          <w:bCs/>
          <w:sz w:val="28"/>
          <w:szCs w:val="28"/>
        </w:rPr>
        <w:t>一、项目概况</w:t>
      </w:r>
    </w:p>
    <w:p w14:paraId="4F74A1B1">
      <w:pPr>
        <w:spacing w:line="578"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1.根据业务需要采购</w:t>
      </w:r>
      <w:r>
        <w:rPr>
          <w:rFonts w:hint="default" w:ascii="Times New Roman" w:hAnsi="Times New Roman" w:eastAsia="方正仿宋_GBK" w:cs="Times New Roman"/>
          <w:sz w:val="28"/>
          <w:szCs w:val="28"/>
          <w:lang w:val="en-US" w:eastAsia="zh-CN"/>
        </w:rPr>
        <w:t>财政电子票据服务</w:t>
      </w:r>
      <w:r>
        <w:rPr>
          <w:rFonts w:hint="default" w:ascii="Times New Roman" w:hAnsi="Times New Roman" w:eastAsia="方正仿宋_GBK" w:cs="Times New Roman"/>
          <w:sz w:val="28"/>
          <w:szCs w:val="28"/>
        </w:rPr>
        <w:t>。</w:t>
      </w:r>
    </w:p>
    <w:p w14:paraId="6EDFABAD">
      <w:pPr>
        <w:spacing w:line="360" w:lineRule="auto"/>
        <w:ind w:firstLine="560" w:firstLineChars="200"/>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2.项目预算：</w:t>
      </w:r>
      <w:r>
        <w:rPr>
          <w:rFonts w:hint="eastAsia" w:ascii="Times New Roman" w:hAnsi="Times New Roman" w:eastAsia="方正仿宋_GBK" w:cs="Times New Roman"/>
          <w:sz w:val="28"/>
          <w:szCs w:val="28"/>
          <w:lang w:val="en-US" w:eastAsia="zh-CN"/>
        </w:rPr>
        <w:t>7万</w:t>
      </w:r>
      <w:r>
        <w:rPr>
          <w:rFonts w:hint="default" w:ascii="Times New Roman" w:hAnsi="Times New Roman" w:eastAsia="方正仿宋_GBK" w:cs="Times New Roman"/>
          <w:sz w:val="28"/>
          <w:szCs w:val="28"/>
        </w:rPr>
        <w:t>元</w:t>
      </w:r>
      <w:r>
        <w:rPr>
          <w:rFonts w:hint="eastAsia" w:ascii="Times New Roman" w:hAnsi="Times New Roman" w:eastAsia="方正仿宋_GBK" w:cs="Times New Roman"/>
          <w:sz w:val="28"/>
          <w:szCs w:val="28"/>
          <w:lang w:val="en-US" w:eastAsia="zh-CN"/>
        </w:rPr>
        <w:t>/年</w:t>
      </w:r>
      <w:r>
        <w:rPr>
          <w:rFonts w:hint="default" w:ascii="Times New Roman" w:hAnsi="Times New Roman" w:eastAsia="方正仿宋_GBK" w:cs="Times New Roman"/>
          <w:sz w:val="28"/>
          <w:szCs w:val="28"/>
          <w:lang w:val="en-US" w:eastAsia="zh-CN"/>
        </w:rPr>
        <w:t>。</w:t>
      </w:r>
    </w:p>
    <w:p w14:paraId="46DBD3BA">
      <w:pPr>
        <w:spacing w:line="360" w:lineRule="auto"/>
        <w:ind w:firstLine="560" w:firstLineChars="200"/>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3.服务期限：3年，合同一年一签。</w:t>
      </w:r>
    </w:p>
    <w:p w14:paraId="68EF5739">
      <w:pPr>
        <w:spacing w:line="360" w:lineRule="auto"/>
        <w:ind w:firstLine="562" w:firstLineChars="200"/>
        <w:rPr>
          <w:rFonts w:hint="default" w:ascii="Times New Roman" w:hAnsi="Times New Roman" w:cs="Times New Roman"/>
          <w:b/>
          <w:sz w:val="28"/>
          <w:szCs w:val="28"/>
        </w:rPr>
      </w:pPr>
      <w:r>
        <w:rPr>
          <w:rFonts w:hint="default" w:ascii="Times New Roman" w:hAnsi="Times New Roman" w:cs="Times New Roman"/>
          <w:b/>
          <w:sz w:val="28"/>
          <w:szCs w:val="28"/>
        </w:rPr>
        <w:t>二、比选报名</w:t>
      </w:r>
    </w:p>
    <w:p w14:paraId="65161F6A">
      <w:pPr>
        <w:spacing w:line="360" w:lineRule="auto"/>
        <w:ind w:firstLine="281" w:firstLineChars="100"/>
        <w:rPr>
          <w:rFonts w:hint="default" w:ascii="Times New Roman" w:hAnsi="Times New Roman" w:cs="Times New Roman"/>
          <w:b/>
          <w:sz w:val="28"/>
          <w:szCs w:val="28"/>
        </w:rPr>
      </w:pPr>
      <w:r>
        <w:rPr>
          <w:rFonts w:hint="default" w:ascii="Times New Roman" w:hAnsi="Times New Roman" w:cs="Times New Roman"/>
          <w:b/>
          <w:sz w:val="28"/>
          <w:szCs w:val="28"/>
        </w:rPr>
        <w:t>（一）供应商报名条件</w:t>
      </w:r>
    </w:p>
    <w:p w14:paraId="3D272535">
      <w:pPr>
        <w:spacing w:line="360" w:lineRule="auto"/>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1．符合《中华人民共和国政府采购法》第二十二条之规定，具体如下：</w:t>
      </w:r>
    </w:p>
    <w:p w14:paraId="74B3AA36">
      <w:pPr>
        <w:spacing w:line="360" w:lineRule="auto"/>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1.1具有独立承担民事责任的能力；</w:t>
      </w:r>
    </w:p>
    <w:p w14:paraId="7853B917">
      <w:pPr>
        <w:spacing w:line="360" w:lineRule="auto"/>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1.2具有良好的商业信誉和健全的财务会计制度；</w:t>
      </w:r>
    </w:p>
    <w:p w14:paraId="06EA98DD">
      <w:pPr>
        <w:spacing w:line="360" w:lineRule="auto"/>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w:t>
      </w:r>
      <w:r>
        <w:rPr>
          <w:rFonts w:hint="default" w:ascii="Times New Roman" w:hAnsi="Times New Roman" w:eastAsia="方正仿宋_GBK" w:cs="Times New Roman"/>
          <w:sz w:val="28"/>
          <w:szCs w:val="28"/>
          <w:lang w:val="en-US" w:eastAsia="zh-CN"/>
        </w:rPr>
        <w:t>3</w:t>
      </w:r>
      <w:r>
        <w:rPr>
          <w:rFonts w:hint="default" w:ascii="Times New Roman" w:hAnsi="Times New Roman" w:eastAsia="方正仿宋_GBK" w:cs="Times New Roman"/>
          <w:sz w:val="28"/>
          <w:szCs w:val="28"/>
        </w:rPr>
        <w:t>有依法缴纳税收和社会保障资金的良好记录；</w:t>
      </w:r>
    </w:p>
    <w:p w14:paraId="3A52DC1B">
      <w:pPr>
        <w:spacing w:line="360" w:lineRule="auto"/>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w:t>
      </w:r>
      <w:r>
        <w:rPr>
          <w:rFonts w:hint="default" w:ascii="Times New Roman" w:hAnsi="Times New Roman" w:eastAsia="方正仿宋_GBK" w:cs="Times New Roman"/>
          <w:sz w:val="28"/>
          <w:szCs w:val="28"/>
          <w:lang w:val="en-US" w:eastAsia="zh-CN"/>
        </w:rPr>
        <w:t>4</w:t>
      </w:r>
      <w:r>
        <w:rPr>
          <w:rFonts w:hint="default" w:ascii="Times New Roman" w:hAnsi="Times New Roman" w:eastAsia="方正仿宋_GBK" w:cs="Times New Roman"/>
          <w:sz w:val="28"/>
          <w:szCs w:val="28"/>
        </w:rPr>
        <w:t>参加政府采购活动前三年内，在经营活动中没有重大违法记录；</w:t>
      </w:r>
    </w:p>
    <w:p w14:paraId="7EF735FC">
      <w:pPr>
        <w:spacing w:line="360" w:lineRule="auto"/>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w:t>
      </w:r>
      <w:r>
        <w:rPr>
          <w:rFonts w:hint="default" w:ascii="Times New Roman" w:hAnsi="Times New Roman" w:eastAsia="方正仿宋_GBK" w:cs="Times New Roman"/>
          <w:sz w:val="28"/>
          <w:szCs w:val="28"/>
          <w:lang w:val="en-US" w:eastAsia="zh-CN"/>
        </w:rPr>
        <w:t>5</w:t>
      </w:r>
      <w:r>
        <w:rPr>
          <w:rFonts w:hint="default" w:ascii="Times New Roman" w:hAnsi="Times New Roman" w:eastAsia="方正仿宋_GBK" w:cs="Times New Roman"/>
          <w:sz w:val="28"/>
          <w:szCs w:val="28"/>
        </w:rPr>
        <w:t>法律、行政法规规定的其他条件。</w:t>
      </w:r>
    </w:p>
    <w:p w14:paraId="266E2A05">
      <w:pPr>
        <w:spacing w:line="360" w:lineRule="auto"/>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2．本项目不接受联合体参加比选。</w:t>
      </w:r>
    </w:p>
    <w:p w14:paraId="08C00763">
      <w:pPr>
        <w:spacing w:line="360" w:lineRule="auto"/>
        <w:ind w:firstLine="560" w:firstLineChars="200"/>
        <w:rPr>
          <w:rFonts w:hint="default" w:ascii="Times New Roman" w:hAnsi="Times New Roman" w:eastAsia="方正仿宋_GBK" w:cs="Times New Roman"/>
          <w:strike/>
          <w:dstrike w:val="0"/>
          <w:color w:val="0000FF"/>
          <w:sz w:val="28"/>
          <w:szCs w:val="28"/>
          <w:lang w:val="en-US" w:eastAsia="zh-CN"/>
        </w:rPr>
      </w:pPr>
      <w:r>
        <w:rPr>
          <w:rFonts w:hint="default" w:ascii="Times New Roman" w:hAnsi="Times New Roman" w:eastAsia="方正仿宋_GBK" w:cs="Times New Roman"/>
          <w:sz w:val="28"/>
          <w:szCs w:val="28"/>
        </w:rPr>
        <w:t>3．本项目特定要求：</w:t>
      </w:r>
      <w:r>
        <w:rPr>
          <w:rFonts w:hint="default" w:ascii="Times New Roman" w:hAnsi="Times New Roman" w:eastAsia="方正仿宋_GBK" w:cs="Times New Roman"/>
          <w:sz w:val="28"/>
          <w:szCs w:val="28"/>
          <w:lang w:val="en-US" w:eastAsia="zh-CN"/>
        </w:rPr>
        <w:t>无</w:t>
      </w:r>
    </w:p>
    <w:p w14:paraId="5ECF5A81">
      <w:pPr>
        <w:spacing w:line="360" w:lineRule="auto"/>
        <w:ind w:firstLine="281" w:firstLineChars="100"/>
        <w:rPr>
          <w:rFonts w:hint="default" w:ascii="Times New Roman" w:hAnsi="Times New Roman" w:eastAsia="方正仿宋_GBK" w:cs="Times New Roman"/>
          <w:sz w:val="28"/>
          <w:szCs w:val="28"/>
        </w:rPr>
      </w:pPr>
      <w:r>
        <w:rPr>
          <w:rFonts w:hint="default" w:ascii="Times New Roman" w:hAnsi="Times New Roman" w:eastAsia="方正仿宋_GBK" w:cs="Times New Roman"/>
          <w:b/>
          <w:sz w:val="28"/>
          <w:szCs w:val="28"/>
        </w:rPr>
        <w:t>（二）报名要求</w:t>
      </w:r>
      <w:r>
        <w:rPr>
          <w:rFonts w:hint="default" w:ascii="Times New Roman" w:hAnsi="Times New Roman" w:eastAsia="方正仿宋_GBK" w:cs="Times New Roman"/>
          <w:sz w:val="28"/>
          <w:szCs w:val="28"/>
        </w:rPr>
        <w:t>：</w:t>
      </w:r>
    </w:p>
    <w:p w14:paraId="68EC05F9">
      <w:pPr>
        <w:spacing w:line="360" w:lineRule="auto"/>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按要求时间提交响应文件视为报名。</w:t>
      </w:r>
    </w:p>
    <w:p w14:paraId="72B1B3DE">
      <w:pPr>
        <w:numPr>
          <w:ilvl w:val="0"/>
          <w:numId w:val="1"/>
        </w:numPr>
        <w:spacing w:line="360" w:lineRule="auto"/>
        <w:ind w:firstLine="562" w:firstLineChars="200"/>
        <w:rPr>
          <w:rFonts w:hint="default" w:ascii="Times New Roman" w:hAnsi="Times New Roman" w:cs="Times New Roman"/>
          <w:b/>
          <w:sz w:val="28"/>
          <w:szCs w:val="28"/>
        </w:rPr>
      </w:pPr>
      <w:r>
        <w:rPr>
          <w:rFonts w:hint="default" w:ascii="Times New Roman" w:hAnsi="Times New Roman" w:cs="Times New Roman"/>
          <w:b/>
          <w:sz w:val="28"/>
          <w:szCs w:val="28"/>
        </w:rPr>
        <w:t>比选文件领取方式</w:t>
      </w:r>
    </w:p>
    <w:p w14:paraId="244B4267">
      <w:pPr>
        <w:numPr>
          <w:ilvl w:val="0"/>
          <w:numId w:val="0"/>
        </w:numPr>
        <w:spacing w:line="360" w:lineRule="auto"/>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通过医院官网下载比选文件。</w:t>
      </w:r>
    </w:p>
    <w:p w14:paraId="38D5A72D">
      <w:pPr>
        <w:spacing w:line="360" w:lineRule="auto"/>
        <w:ind w:firstLine="562" w:firstLineChars="200"/>
        <w:rPr>
          <w:rFonts w:hint="default" w:ascii="Times New Roman" w:hAnsi="Times New Roman" w:eastAsia="宋体" w:cs="Times New Roman"/>
          <w:b/>
          <w:sz w:val="28"/>
          <w:szCs w:val="28"/>
        </w:rPr>
      </w:pPr>
      <w:r>
        <w:rPr>
          <w:rFonts w:hint="default" w:ascii="Times New Roman" w:hAnsi="Times New Roman" w:eastAsia="宋体" w:cs="Times New Roman"/>
          <w:b/>
          <w:sz w:val="28"/>
          <w:szCs w:val="28"/>
        </w:rPr>
        <w:t>四、响应文件接收时间和地点</w:t>
      </w:r>
    </w:p>
    <w:p w14:paraId="10774F73">
      <w:pPr>
        <w:spacing w:line="360" w:lineRule="auto"/>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文件递交时间：202</w:t>
      </w:r>
      <w:r>
        <w:rPr>
          <w:rFonts w:hint="default" w:ascii="Times New Roman" w:hAnsi="Times New Roman" w:eastAsia="方正仿宋_GBK" w:cs="Times New Roman"/>
          <w:sz w:val="28"/>
          <w:szCs w:val="28"/>
          <w:lang w:val="en-US" w:eastAsia="zh-CN"/>
        </w:rPr>
        <w:t>5</w:t>
      </w:r>
      <w:r>
        <w:rPr>
          <w:rFonts w:hint="default" w:ascii="Times New Roman" w:hAnsi="Times New Roman" w:eastAsia="方正仿宋_GBK" w:cs="Times New Roman"/>
          <w:sz w:val="28"/>
          <w:szCs w:val="28"/>
        </w:rPr>
        <w:t>年</w:t>
      </w:r>
      <w:r>
        <w:rPr>
          <w:rFonts w:hint="eastAsia" w:ascii="Times New Roman" w:hAnsi="Times New Roman" w:eastAsia="方正仿宋_GBK" w:cs="Times New Roman"/>
          <w:sz w:val="28"/>
          <w:szCs w:val="28"/>
          <w:lang w:val="en-US" w:eastAsia="zh-CN"/>
        </w:rPr>
        <w:t>11</w:t>
      </w:r>
      <w:r>
        <w:rPr>
          <w:rFonts w:hint="default"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14</w:t>
      </w:r>
      <w:r>
        <w:rPr>
          <w:rFonts w:hint="default" w:ascii="Times New Roman" w:hAnsi="Times New Roman" w:eastAsia="方正仿宋_GBK" w:cs="Times New Roman"/>
          <w:sz w:val="28"/>
          <w:szCs w:val="28"/>
        </w:rPr>
        <w:t>日</w:t>
      </w:r>
      <w:r>
        <w:rPr>
          <w:rFonts w:hint="eastAsia" w:ascii="Times New Roman" w:hAnsi="Times New Roman" w:eastAsia="方正仿宋_GBK" w:cs="Times New Roman"/>
          <w:sz w:val="28"/>
          <w:szCs w:val="28"/>
          <w:lang w:val="en-US" w:eastAsia="zh-CN"/>
        </w:rPr>
        <w:t>9</w:t>
      </w:r>
      <w:r>
        <w:rPr>
          <w:rFonts w:hint="default" w:ascii="Times New Roman" w:hAnsi="Times New Roman" w:eastAsia="方正仿宋_GBK" w:cs="Times New Roman"/>
          <w:sz w:val="28"/>
          <w:szCs w:val="28"/>
        </w:rPr>
        <w:t>:</w:t>
      </w:r>
      <w:r>
        <w:rPr>
          <w:rFonts w:hint="eastAsia" w:ascii="Times New Roman" w:hAnsi="Times New Roman" w:eastAsia="方正仿宋_GBK" w:cs="Times New Roman"/>
          <w:sz w:val="28"/>
          <w:szCs w:val="28"/>
          <w:lang w:val="en-US" w:eastAsia="zh-CN"/>
        </w:rPr>
        <w:t>3</w:t>
      </w:r>
      <w:r>
        <w:rPr>
          <w:rFonts w:hint="default" w:ascii="Times New Roman" w:hAnsi="Times New Roman" w:eastAsia="方正仿宋_GBK" w:cs="Times New Roman"/>
          <w:sz w:val="28"/>
          <w:szCs w:val="28"/>
        </w:rPr>
        <w:t>0-</w:t>
      </w:r>
      <w:r>
        <w:rPr>
          <w:rFonts w:hint="eastAsia" w:ascii="Times New Roman" w:hAnsi="Times New Roman" w:eastAsia="方正仿宋_GBK" w:cs="Times New Roman"/>
          <w:sz w:val="28"/>
          <w:szCs w:val="28"/>
          <w:lang w:val="en-US" w:eastAsia="zh-CN"/>
        </w:rPr>
        <w:t>10</w:t>
      </w:r>
      <w:r>
        <w:rPr>
          <w:rFonts w:hint="default" w:ascii="Times New Roman" w:hAnsi="Times New Roman" w:eastAsia="方正仿宋_GBK" w:cs="Times New Roman"/>
          <w:sz w:val="28"/>
          <w:szCs w:val="28"/>
        </w:rPr>
        <w:t>:</w:t>
      </w:r>
      <w:r>
        <w:rPr>
          <w:rFonts w:hint="eastAsia" w:ascii="Times New Roman" w:hAnsi="Times New Roman" w:eastAsia="方正仿宋_GBK" w:cs="Times New Roman"/>
          <w:sz w:val="28"/>
          <w:szCs w:val="28"/>
          <w:lang w:val="en-US" w:eastAsia="zh-CN"/>
        </w:rPr>
        <w:t>0</w:t>
      </w:r>
      <w:r>
        <w:rPr>
          <w:rFonts w:hint="default" w:ascii="Times New Roman" w:hAnsi="Times New Roman" w:eastAsia="方正仿宋_GBK" w:cs="Times New Roman"/>
          <w:sz w:val="28"/>
          <w:szCs w:val="28"/>
        </w:rPr>
        <w:t>0</w:t>
      </w:r>
    </w:p>
    <w:p w14:paraId="28D5393A">
      <w:pPr>
        <w:spacing w:line="360" w:lineRule="auto"/>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文件接收地点：成都市龙泉驿区青台山路222号</w:t>
      </w:r>
    </w:p>
    <w:p w14:paraId="53D8AA69">
      <w:pPr>
        <w:spacing w:line="360" w:lineRule="auto"/>
        <w:ind w:left="1984" w:leftChars="945" w:firstLine="560" w:firstLineChars="200"/>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rPr>
        <w:t>成都市龙泉驿区中医医院门诊5楼</w:t>
      </w:r>
      <w:r>
        <w:rPr>
          <w:rFonts w:hint="default" w:ascii="Times New Roman" w:hAnsi="Times New Roman" w:eastAsia="方正仿宋_GBK" w:cs="Times New Roman"/>
          <w:sz w:val="28"/>
          <w:szCs w:val="28"/>
          <w:lang w:eastAsia="zh-CN"/>
        </w:rPr>
        <w:t>招标办公室</w:t>
      </w:r>
    </w:p>
    <w:p w14:paraId="55B3744C">
      <w:pPr>
        <w:spacing w:line="360" w:lineRule="auto"/>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联系人：董老师</w:t>
      </w:r>
    </w:p>
    <w:p w14:paraId="1D6F3BAF">
      <w:pPr>
        <w:spacing w:line="360" w:lineRule="auto"/>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联系方式：028-60659207</w:t>
      </w:r>
    </w:p>
    <w:p w14:paraId="3A23F582">
      <w:pPr>
        <w:spacing w:line="360" w:lineRule="auto"/>
        <w:ind w:firstLine="562" w:firstLineChars="200"/>
        <w:rPr>
          <w:rFonts w:hint="default" w:ascii="Times New Roman" w:hAnsi="Times New Roman" w:cs="Times New Roman"/>
          <w:b/>
          <w:sz w:val="28"/>
          <w:szCs w:val="28"/>
        </w:rPr>
      </w:pPr>
      <w:r>
        <w:rPr>
          <w:rFonts w:hint="default" w:ascii="Times New Roman" w:hAnsi="Times New Roman" w:cs="Times New Roman"/>
          <w:b/>
          <w:sz w:val="28"/>
          <w:szCs w:val="28"/>
        </w:rPr>
        <w:t>五、比选时间、地</w:t>
      </w:r>
      <w:bookmarkStart w:id="0" w:name="_GoBack"/>
      <w:bookmarkEnd w:id="0"/>
      <w:r>
        <w:rPr>
          <w:rFonts w:hint="default" w:ascii="Times New Roman" w:hAnsi="Times New Roman" w:cs="Times New Roman"/>
          <w:b/>
          <w:sz w:val="28"/>
          <w:szCs w:val="28"/>
        </w:rPr>
        <w:t>点及方式</w:t>
      </w:r>
    </w:p>
    <w:p w14:paraId="3E255F30">
      <w:pPr>
        <w:spacing w:line="360" w:lineRule="auto"/>
        <w:ind w:firstLine="560" w:firstLineChars="200"/>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rPr>
        <w:t>比选时间：202</w:t>
      </w:r>
      <w:r>
        <w:rPr>
          <w:rFonts w:hint="default" w:ascii="Times New Roman" w:hAnsi="Times New Roman" w:eastAsia="方正仿宋_GBK" w:cs="Times New Roman"/>
          <w:sz w:val="28"/>
          <w:szCs w:val="28"/>
          <w:lang w:val="en-US" w:eastAsia="zh-CN"/>
        </w:rPr>
        <w:t>5</w:t>
      </w:r>
      <w:r>
        <w:rPr>
          <w:rFonts w:hint="default" w:ascii="Times New Roman" w:hAnsi="Times New Roman" w:eastAsia="方正仿宋_GBK" w:cs="Times New Roman"/>
          <w:sz w:val="28"/>
          <w:szCs w:val="28"/>
        </w:rPr>
        <w:t>年</w:t>
      </w:r>
      <w:r>
        <w:rPr>
          <w:rFonts w:hint="eastAsia" w:ascii="Times New Roman" w:hAnsi="Times New Roman" w:eastAsia="方正仿宋_GBK" w:cs="Times New Roman"/>
          <w:sz w:val="28"/>
          <w:szCs w:val="28"/>
          <w:lang w:val="en-US" w:eastAsia="zh-CN"/>
        </w:rPr>
        <w:t>11</w:t>
      </w:r>
      <w:r>
        <w:rPr>
          <w:rFonts w:hint="default"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14</w:t>
      </w:r>
      <w:r>
        <w:rPr>
          <w:rFonts w:hint="default" w:ascii="Times New Roman" w:hAnsi="Times New Roman" w:eastAsia="方正仿宋_GBK" w:cs="Times New Roman"/>
          <w:sz w:val="28"/>
          <w:szCs w:val="28"/>
        </w:rPr>
        <w:t>日</w:t>
      </w:r>
      <w:r>
        <w:rPr>
          <w:rFonts w:hint="eastAsia" w:ascii="Times New Roman" w:hAnsi="Times New Roman" w:eastAsia="方正仿宋_GBK" w:cs="Times New Roman"/>
          <w:sz w:val="28"/>
          <w:szCs w:val="28"/>
          <w:lang w:eastAsia="zh-CN"/>
        </w:rPr>
        <w:t>上</w:t>
      </w:r>
      <w:r>
        <w:rPr>
          <w:rFonts w:hint="default" w:ascii="Times New Roman" w:hAnsi="Times New Roman" w:eastAsia="方正仿宋_GBK" w:cs="Times New Roman"/>
          <w:sz w:val="28"/>
          <w:szCs w:val="28"/>
        </w:rPr>
        <w:t>午</w:t>
      </w:r>
    </w:p>
    <w:p w14:paraId="5DF90BE9">
      <w:pPr>
        <w:spacing w:line="360" w:lineRule="auto"/>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比选地点：成都市龙泉驿区中医医院会议室</w:t>
      </w:r>
    </w:p>
    <w:p w14:paraId="726E19A6">
      <w:pPr>
        <w:spacing w:line="360" w:lineRule="auto"/>
        <w:ind w:firstLine="560" w:firstLineChars="200"/>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rPr>
        <w:t>比选方式：</w:t>
      </w:r>
      <w:r>
        <w:rPr>
          <w:rFonts w:hint="default" w:ascii="Times New Roman" w:hAnsi="Times New Roman" w:eastAsia="方正仿宋_GBK" w:cs="Times New Roman"/>
          <w:sz w:val="28"/>
          <w:szCs w:val="28"/>
          <w:lang w:eastAsia="zh-CN"/>
        </w:rPr>
        <w:t>最低评标价法</w:t>
      </w:r>
    </w:p>
    <w:p w14:paraId="4AE76409">
      <w:pPr>
        <w:spacing w:line="36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第二章</w:t>
      </w:r>
      <w:r>
        <w:rPr>
          <w:rFonts w:hint="eastAsia" w:ascii="Times New Roman" w:hAnsi="Times New Roman" w:cs="Times New Roman"/>
          <w:b/>
          <w:sz w:val="28"/>
          <w:szCs w:val="28"/>
          <w:lang w:val="en-US" w:eastAsia="zh-CN"/>
        </w:rPr>
        <w:t xml:space="preserve">  </w:t>
      </w:r>
      <w:r>
        <w:rPr>
          <w:rFonts w:hint="default" w:ascii="Times New Roman" w:hAnsi="Times New Roman" w:cs="Times New Roman"/>
          <w:b/>
          <w:sz w:val="28"/>
          <w:szCs w:val="28"/>
          <w:lang w:eastAsia="zh-CN"/>
        </w:rPr>
        <w:t>技术</w:t>
      </w:r>
      <w:r>
        <w:rPr>
          <w:rFonts w:hint="default" w:ascii="Times New Roman" w:hAnsi="Times New Roman" w:cs="Times New Roman"/>
          <w:b/>
          <w:sz w:val="28"/>
          <w:szCs w:val="28"/>
        </w:rPr>
        <w:t>和服务要求</w:t>
      </w:r>
    </w:p>
    <w:p w14:paraId="0ED1F636">
      <w:pPr>
        <w:numPr>
          <w:ilvl w:val="0"/>
          <w:numId w:val="0"/>
        </w:numPr>
        <w:spacing w:line="360" w:lineRule="auto"/>
        <w:ind w:firstLine="562" w:firstLineChars="200"/>
        <w:rPr>
          <w:rFonts w:hint="default" w:ascii="Times New Roman" w:hAnsi="Times New Roman" w:eastAsia="方正仿宋_GBK" w:cs="Times New Roman"/>
          <w:b/>
          <w:bCs w:val="0"/>
          <w:sz w:val="28"/>
          <w:szCs w:val="28"/>
          <w:lang w:val="en-US" w:eastAsia="zh-CN"/>
        </w:rPr>
      </w:pPr>
      <w:r>
        <w:rPr>
          <w:rFonts w:hint="default" w:ascii="Times New Roman" w:hAnsi="Times New Roman" w:eastAsia="方正仿宋_GBK" w:cs="Times New Roman"/>
          <w:b/>
          <w:bCs w:val="0"/>
          <w:sz w:val="28"/>
          <w:szCs w:val="28"/>
          <w:lang w:val="en-US" w:eastAsia="zh-CN"/>
        </w:rPr>
        <w:t>一、</w:t>
      </w:r>
      <w:r>
        <w:rPr>
          <w:rFonts w:hint="eastAsia" w:ascii="Times New Roman" w:hAnsi="Times New Roman" w:eastAsia="方正仿宋_GBK" w:cs="Times New Roman"/>
          <w:b/>
          <w:bCs w:val="0"/>
          <w:sz w:val="28"/>
          <w:szCs w:val="28"/>
          <w:lang w:val="en-US" w:eastAsia="zh-CN"/>
        </w:rPr>
        <w:t>服务要求（实质性要求）</w:t>
      </w:r>
    </w:p>
    <w:p w14:paraId="2D1D0C60">
      <w:pPr>
        <w:spacing w:line="240" w:lineRule="atLeast"/>
        <w:ind w:firstLine="560" w:firstLineChars="200"/>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实施内容主要包括：由供应商提供软硬件环境，构建医疗收费电子票据管理系统云平台，调研梳理医院相关业务流程，根据医疗收费电子票据的业务特征，进一步完善业务流程，实现医疗收费电子票据领用、开具、查询等功能服务；实现电子档案云存储管理，实现医院端医疗收费电子票据的归档保管；建立医疗收费电子票据管理云平台，并与龙泉驿区中医医院现有HIS系统开发，联调、财政电子票据管理系统、签名认证系统等的数据交换接口，实现缴款人缴费后自动开具医疗收费电子票据。</w:t>
      </w:r>
    </w:p>
    <w:p w14:paraId="3015FB44">
      <w:pPr>
        <w:spacing w:line="240" w:lineRule="atLeast"/>
        <w:ind w:firstLine="560" w:firstLineChars="200"/>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详细技术参数及要求如下：</w:t>
      </w:r>
    </w:p>
    <w:p w14:paraId="6622F105">
      <w:pPr>
        <w:spacing w:line="240" w:lineRule="atLeast"/>
        <w:ind w:firstLine="560" w:firstLineChars="200"/>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（一）、医疗收费电子票据管理系统云平台服务</w:t>
      </w:r>
    </w:p>
    <w:tbl>
      <w:tblPr>
        <w:tblStyle w:val="4"/>
        <w:tblW w:w="8885"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843"/>
        <w:gridCol w:w="6191"/>
      </w:tblGrid>
      <w:tr w14:paraId="50C86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noWrap w:val="0"/>
            <w:vAlign w:val="center"/>
          </w:tcPr>
          <w:p w14:paraId="1B61925D">
            <w:pPr>
              <w:spacing w:line="360" w:lineRule="auto"/>
              <w:jc w:val="center"/>
              <w:rPr>
                <w:rFonts w:ascii="宋体"/>
                <w:b/>
                <w:bCs/>
                <w:color w:val="auto"/>
                <w:szCs w:val="21"/>
                <w:highlight w:val="none"/>
              </w:rPr>
            </w:pPr>
            <w:r>
              <w:rPr>
                <w:rFonts w:hint="eastAsia" w:ascii="宋体"/>
                <w:b/>
                <w:bCs/>
                <w:color w:val="auto"/>
                <w:szCs w:val="21"/>
                <w:highlight w:val="none"/>
              </w:rPr>
              <w:t>序号</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2ABC499">
            <w:pPr>
              <w:spacing w:line="360" w:lineRule="auto"/>
              <w:jc w:val="center"/>
              <w:rPr>
                <w:rFonts w:ascii="宋体"/>
                <w:b/>
                <w:bCs/>
                <w:color w:val="auto"/>
                <w:szCs w:val="21"/>
                <w:highlight w:val="none"/>
              </w:rPr>
            </w:pPr>
            <w:r>
              <w:rPr>
                <w:rFonts w:hint="eastAsia" w:ascii="宋体"/>
                <w:b/>
                <w:bCs/>
                <w:color w:val="auto"/>
                <w:szCs w:val="21"/>
                <w:highlight w:val="none"/>
              </w:rPr>
              <w:t>项目名称</w:t>
            </w:r>
          </w:p>
        </w:tc>
        <w:tc>
          <w:tcPr>
            <w:tcW w:w="6191" w:type="dxa"/>
            <w:tcBorders>
              <w:top w:val="single" w:color="auto" w:sz="4" w:space="0"/>
              <w:left w:val="single" w:color="auto" w:sz="4" w:space="0"/>
              <w:bottom w:val="single" w:color="auto" w:sz="4" w:space="0"/>
              <w:right w:val="single" w:color="auto" w:sz="4" w:space="0"/>
            </w:tcBorders>
            <w:noWrap w:val="0"/>
            <w:vAlign w:val="center"/>
          </w:tcPr>
          <w:p w14:paraId="0FAEACBF">
            <w:pPr>
              <w:spacing w:line="360" w:lineRule="auto"/>
              <w:jc w:val="center"/>
              <w:rPr>
                <w:rFonts w:ascii="宋体"/>
                <w:b/>
                <w:bCs/>
                <w:color w:val="auto"/>
                <w:szCs w:val="21"/>
                <w:highlight w:val="none"/>
              </w:rPr>
            </w:pPr>
            <w:r>
              <w:rPr>
                <w:rFonts w:hint="eastAsia" w:ascii="宋体"/>
                <w:b/>
                <w:bCs/>
                <w:color w:val="auto"/>
                <w:szCs w:val="21"/>
                <w:highlight w:val="none"/>
              </w:rPr>
              <w:t>技术要求</w:t>
            </w:r>
          </w:p>
        </w:tc>
      </w:tr>
      <w:tr w14:paraId="7981F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noWrap w:val="0"/>
            <w:vAlign w:val="center"/>
          </w:tcPr>
          <w:p w14:paraId="461118BD">
            <w:pPr>
              <w:spacing w:line="360" w:lineRule="auto"/>
              <w:jc w:val="center"/>
              <w:rPr>
                <w:rFonts w:ascii="宋体"/>
                <w:color w:val="auto"/>
                <w:szCs w:val="21"/>
                <w:highlight w:val="none"/>
              </w:rPr>
            </w:pPr>
            <w:r>
              <w:rPr>
                <w:rFonts w:hint="eastAsia" w:ascii="宋体"/>
                <w:color w:val="auto"/>
                <w:szCs w:val="21"/>
                <w:highlight w:val="none"/>
              </w:rPr>
              <w:t>1</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2593A21">
            <w:pPr>
              <w:spacing w:line="360" w:lineRule="auto"/>
              <w:rPr>
                <w:rFonts w:ascii="宋体"/>
                <w:color w:val="auto"/>
                <w:szCs w:val="21"/>
                <w:highlight w:val="none"/>
              </w:rPr>
            </w:pPr>
            <w:r>
              <w:rPr>
                <w:rFonts w:hint="eastAsia" w:ascii="宋体"/>
                <w:color w:val="auto"/>
                <w:szCs w:val="21"/>
                <w:highlight w:val="none"/>
              </w:rPr>
              <w:t>建立多种票据推送渠道</w:t>
            </w:r>
          </w:p>
        </w:tc>
        <w:tc>
          <w:tcPr>
            <w:tcW w:w="6191" w:type="dxa"/>
            <w:tcBorders>
              <w:top w:val="single" w:color="auto" w:sz="4" w:space="0"/>
              <w:left w:val="single" w:color="auto" w:sz="4" w:space="0"/>
              <w:bottom w:val="single" w:color="auto" w:sz="4" w:space="0"/>
              <w:right w:val="single" w:color="auto" w:sz="4" w:space="0"/>
            </w:tcBorders>
            <w:noWrap w:val="0"/>
            <w:vAlign w:val="center"/>
          </w:tcPr>
          <w:p w14:paraId="144FCD61">
            <w:pPr>
              <w:spacing w:line="360" w:lineRule="auto"/>
              <w:rPr>
                <w:rFonts w:ascii="宋体"/>
                <w:color w:val="auto"/>
                <w:szCs w:val="21"/>
                <w:highlight w:val="none"/>
              </w:rPr>
            </w:pPr>
            <w:r>
              <w:rPr>
                <w:rFonts w:hint="eastAsia" w:ascii="宋体"/>
                <w:color w:val="auto"/>
                <w:szCs w:val="21"/>
                <w:highlight w:val="none"/>
              </w:rPr>
              <w:t>（1）建设微信取票小程序，将医疗收费电子票据或电子票据信息自动推送给缴款人，缴款人通过微信查询医疗收费电子票据信息；</w:t>
            </w:r>
          </w:p>
          <w:p w14:paraId="32AFE758">
            <w:pPr>
              <w:spacing w:line="360" w:lineRule="auto"/>
              <w:rPr>
                <w:rFonts w:ascii="宋体"/>
                <w:color w:val="auto"/>
                <w:szCs w:val="21"/>
                <w:highlight w:val="none"/>
              </w:rPr>
            </w:pPr>
            <w:r>
              <w:rPr>
                <w:rFonts w:hint="eastAsia" w:ascii="宋体"/>
                <w:color w:val="auto"/>
                <w:szCs w:val="21"/>
                <w:highlight w:val="none"/>
              </w:rPr>
              <w:t>（2）医院以</w:t>
            </w:r>
            <w:r>
              <w:rPr>
                <w:rFonts w:hint="eastAsia" w:ascii="宋体"/>
                <w:color w:val="auto"/>
                <w:szCs w:val="21"/>
                <w:highlight w:val="none"/>
                <w:lang w:eastAsia="zh-CN"/>
              </w:rPr>
              <w:t>收费凭条</w:t>
            </w:r>
            <w:r>
              <w:rPr>
                <w:rFonts w:hint="eastAsia" w:ascii="宋体"/>
                <w:color w:val="auto"/>
                <w:szCs w:val="21"/>
                <w:highlight w:val="none"/>
              </w:rPr>
              <w:t>形式通知患者开票成功，患者可通过微信扫描</w:t>
            </w:r>
            <w:r>
              <w:rPr>
                <w:rFonts w:hint="eastAsia" w:ascii="宋体"/>
                <w:color w:val="auto"/>
                <w:szCs w:val="21"/>
                <w:highlight w:val="none"/>
                <w:lang w:eastAsia="zh-CN"/>
              </w:rPr>
              <w:t>收费凭条</w:t>
            </w:r>
            <w:r>
              <w:rPr>
                <w:rFonts w:hint="eastAsia" w:ascii="宋体"/>
                <w:color w:val="auto"/>
                <w:szCs w:val="21"/>
                <w:highlight w:val="none"/>
              </w:rPr>
              <w:t>上的二维码取票。</w:t>
            </w:r>
          </w:p>
          <w:p w14:paraId="0E982A7E">
            <w:pPr>
              <w:spacing w:line="360" w:lineRule="auto"/>
              <w:rPr>
                <w:rFonts w:ascii="宋体"/>
                <w:color w:val="auto"/>
                <w:szCs w:val="21"/>
                <w:highlight w:val="none"/>
              </w:rPr>
            </w:pPr>
            <w:r>
              <w:rPr>
                <w:rFonts w:hint="eastAsia" w:ascii="宋体"/>
                <w:color w:val="auto"/>
                <w:szCs w:val="21"/>
                <w:highlight w:val="none"/>
              </w:rPr>
              <w:t>（3）患者使用医院微信公众号取票通过微信公众号接收电子票据通知的，直接在微信公众号上取得这个电子票据。</w:t>
            </w:r>
          </w:p>
        </w:tc>
      </w:tr>
      <w:tr w14:paraId="5D5AA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noWrap w:val="0"/>
            <w:vAlign w:val="center"/>
          </w:tcPr>
          <w:p w14:paraId="59A1E64C">
            <w:pPr>
              <w:spacing w:line="360" w:lineRule="auto"/>
              <w:jc w:val="center"/>
              <w:rPr>
                <w:rFonts w:ascii="宋体"/>
                <w:color w:val="auto"/>
                <w:szCs w:val="21"/>
                <w:highlight w:val="none"/>
              </w:rPr>
            </w:pPr>
            <w:r>
              <w:rPr>
                <w:rFonts w:hint="eastAsia" w:ascii="宋体"/>
                <w:color w:val="auto"/>
                <w:szCs w:val="21"/>
                <w:highlight w:val="none"/>
              </w:rPr>
              <w:t>2</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DFE10FE">
            <w:pPr>
              <w:spacing w:line="360" w:lineRule="auto"/>
              <w:rPr>
                <w:rFonts w:ascii="宋体"/>
                <w:color w:val="auto"/>
                <w:szCs w:val="21"/>
                <w:highlight w:val="none"/>
              </w:rPr>
            </w:pPr>
            <w:r>
              <w:rPr>
                <w:rFonts w:hint="eastAsia" w:ascii="宋体"/>
                <w:color w:val="auto"/>
                <w:szCs w:val="21"/>
                <w:highlight w:val="none"/>
              </w:rPr>
              <w:t>门诊就医开票</w:t>
            </w:r>
          </w:p>
        </w:tc>
        <w:tc>
          <w:tcPr>
            <w:tcW w:w="6191" w:type="dxa"/>
            <w:tcBorders>
              <w:top w:val="single" w:color="auto" w:sz="4" w:space="0"/>
              <w:left w:val="single" w:color="auto" w:sz="4" w:space="0"/>
              <w:bottom w:val="single" w:color="auto" w:sz="4" w:space="0"/>
              <w:right w:val="single" w:color="auto" w:sz="4" w:space="0"/>
            </w:tcBorders>
            <w:noWrap w:val="0"/>
            <w:vAlign w:val="center"/>
          </w:tcPr>
          <w:p w14:paraId="5FB85D53">
            <w:pPr>
              <w:spacing w:line="360" w:lineRule="auto"/>
              <w:rPr>
                <w:rFonts w:ascii="宋体"/>
                <w:color w:val="auto"/>
                <w:szCs w:val="21"/>
                <w:highlight w:val="none"/>
              </w:rPr>
            </w:pPr>
            <w:r>
              <w:rPr>
                <w:rFonts w:hint="eastAsia" w:ascii="宋体"/>
                <w:color w:val="auto"/>
                <w:szCs w:val="21"/>
                <w:highlight w:val="none"/>
              </w:rPr>
              <w:t>（1）挂号缴费：</w:t>
            </w:r>
            <w:r>
              <w:rPr>
                <w:rFonts w:hint="eastAsia"/>
                <w:color w:val="auto"/>
                <w:highlight w:val="none"/>
                <w:lang w:eastAsia="zh-CN"/>
              </w:rPr>
              <w:t>患者到通过窗口、自助机、微信等方式缴纳费用</w:t>
            </w:r>
            <w:r>
              <w:rPr>
                <w:rFonts w:hint="eastAsia" w:ascii="宋体"/>
                <w:color w:val="auto"/>
                <w:szCs w:val="21"/>
                <w:highlight w:val="none"/>
              </w:rPr>
              <w:t>，结算成功即产生电子票据：</w:t>
            </w:r>
          </w:p>
          <w:p w14:paraId="6C6CE58D">
            <w:pPr>
              <w:spacing w:line="360" w:lineRule="auto"/>
              <w:rPr>
                <w:rFonts w:ascii="宋体"/>
                <w:color w:val="auto"/>
                <w:szCs w:val="21"/>
                <w:highlight w:val="none"/>
              </w:rPr>
            </w:pPr>
            <w:r>
              <w:rPr>
                <w:rFonts w:hint="eastAsia" w:ascii="宋体"/>
                <w:color w:val="auto"/>
                <w:szCs w:val="21"/>
                <w:highlight w:val="none"/>
              </w:rPr>
              <w:t>①现场窗口缴费结算的，由窗口打印</w:t>
            </w:r>
            <w:r>
              <w:rPr>
                <w:rFonts w:hint="eastAsia" w:ascii="宋体"/>
                <w:color w:val="auto"/>
                <w:szCs w:val="21"/>
                <w:highlight w:val="none"/>
                <w:lang w:eastAsia="zh-CN"/>
              </w:rPr>
              <w:t>收费凭条（含</w:t>
            </w:r>
            <w:r>
              <w:rPr>
                <w:rFonts w:hint="eastAsia" w:ascii="宋体"/>
                <w:color w:val="auto"/>
                <w:szCs w:val="21"/>
                <w:highlight w:val="none"/>
              </w:rPr>
              <w:t>电子票据</w:t>
            </w:r>
            <w:r>
              <w:rPr>
                <w:rFonts w:hint="eastAsia" w:ascii="宋体"/>
                <w:color w:val="auto"/>
                <w:szCs w:val="21"/>
                <w:highlight w:val="none"/>
                <w:lang w:eastAsia="zh-CN"/>
              </w:rPr>
              <w:t>信息）</w:t>
            </w:r>
            <w:r>
              <w:rPr>
                <w:rFonts w:hint="eastAsia" w:ascii="宋体"/>
                <w:color w:val="auto"/>
                <w:szCs w:val="21"/>
                <w:highlight w:val="none"/>
              </w:rPr>
              <w:t>。</w:t>
            </w:r>
          </w:p>
          <w:p w14:paraId="6A70E907">
            <w:pPr>
              <w:spacing w:line="360" w:lineRule="auto"/>
              <w:rPr>
                <w:rFonts w:ascii="宋体"/>
                <w:color w:val="auto"/>
                <w:szCs w:val="21"/>
                <w:highlight w:val="none"/>
              </w:rPr>
            </w:pPr>
            <w:r>
              <w:rPr>
                <w:rFonts w:hint="eastAsia" w:ascii="宋体"/>
                <w:color w:val="auto"/>
                <w:szCs w:val="21"/>
                <w:highlight w:val="none"/>
              </w:rPr>
              <w:t>②微信缴费结算，直接推送电子票据到微信上，患者可直接在微信公众号上查阅电子票据。</w:t>
            </w:r>
          </w:p>
          <w:p w14:paraId="33E24C04">
            <w:pPr>
              <w:spacing w:line="360" w:lineRule="auto"/>
              <w:rPr>
                <w:rFonts w:ascii="宋体"/>
                <w:color w:val="auto"/>
                <w:szCs w:val="21"/>
                <w:highlight w:val="none"/>
              </w:rPr>
            </w:pPr>
            <w:r>
              <w:rPr>
                <w:rFonts w:hint="eastAsia" w:ascii="宋体"/>
                <w:color w:val="auto"/>
                <w:szCs w:val="21"/>
                <w:highlight w:val="none"/>
              </w:rPr>
              <w:t>（2）门诊收费：就诊过程中，每次结算即产生一份电子票据。电子票据通知方式同挂号缴费。</w:t>
            </w:r>
          </w:p>
        </w:tc>
      </w:tr>
      <w:tr w14:paraId="43AC7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noWrap w:val="0"/>
            <w:vAlign w:val="center"/>
          </w:tcPr>
          <w:p w14:paraId="7CCDF4F0">
            <w:pPr>
              <w:spacing w:line="360" w:lineRule="auto"/>
              <w:jc w:val="center"/>
              <w:rPr>
                <w:rFonts w:ascii="宋体"/>
                <w:color w:val="auto"/>
                <w:szCs w:val="21"/>
                <w:highlight w:val="none"/>
              </w:rPr>
            </w:pPr>
            <w:r>
              <w:rPr>
                <w:rFonts w:hint="eastAsia" w:ascii="宋体"/>
                <w:color w:val="auto"/>
                <w:szCs w:val="21"/>
                <w:highlight w:val="none"/>
              </w:rPr>
              <w:t>3</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46C98B8">
            <w:pPr>
              <w:spacing w:line="360" w:lineRule="auto"/>
              <w:rPr>
                <w:rFonts w:ascii="宋体"/>
                <w:color w:val="auto"/>
                <w:szCs w:val="21"/>
                <w:highlight w:val="none"/>
              </w:rPr>
            </w:pPr>
            <w:r>
              <w:rPr>
                <w:rFonts w:hint="eastAsia" w:ascii="宋体"/>
                <w:color w:val="auto"/>
                <w:szCs w:val="21"/>
                <w:highlight w:val="none"/>
              </w:rPr>
              <w:t>门诊退费及开票</w:t>
            </w:r>
          </w:p>
        </w:tc>
        <w:tc>
          <w:tcPr>
            <w:tcW w:w="6191" w:type="dxa"/>
            <w:tcBorders>
              <w:top w:val="single" w:color="auto" w:sz="4" w:space="0"/>
              <w:left w:val="single" w:color="auto" w:sz="4" w:space="0"/>
              <w:bottom w:val="single" w:color="auto" w:sz="4" w:space="0"/>
              <w:right w:val="single" w:color="auto" w:sz="4" w:space="0"/>
            </w:tcBorders>
            <w:noWrap w:val="0"/>
            <w:vAlign w:val="center"/>
          </w:tcPr>
          <w:p w14:paraId="26469E72">
            <w:pPr>
              <w:spacing w:line="360" w:lineRule="auto"/>
              <w:rPr>
                <w:rFonts w:hint="eastAsia" w:ascii="宋体"/>
                <w:color w:val="auto"/>
                <w:szCs w:val="21"/>
                <w:highlight w:val="red"/>
              </w:rPr>
            </w:pPr>
            <w:r>
              <w:rPr>
                <w:rFonts w:hint="eastAsia" w:ascii="宋体"/>
                <w:color w:val="auto"/>
                <w:szCs w:val="21"/>
                <w:highlight w:val="none"/>
              </w:rPr>
              <w:t>（1）退费办理：就医患者到专用窗口办理退费业务。</w:t>
            </w:r>
          </w:p>
          <w:p w14:paraId="49B48D15">
            <w:pPr>
              <w:spacing w:line="360" w:lineRule="auto"/>
              <w:rPr>
                <w:rFonts w:ascii="宋体"/>
                <w:color w:val="auto"/>
                <w:szCs w:val="21"/>
                <w:highlight w:val="none"/>
              </w:rPr>
            </w:pPr>
            <w:r>
              <w:rPr>
                <w:rFonts w:hint="eastAsia" w:ascii="宋体"/>
                <w:color w:val="auto"/>
                <w:szCs w:val="21"/>
                <w:highlight w:val="none"/>
              </w:rPr>
              <w:t>（2）退费结算，一是全额退费的，对原票据进行冲红；二是部分冲红的，先对原票据进行冲红，在开具出对应金额的电子票据。电子票据通过微信等方式送达到患者。</w:t>
            </w:r>
          </w:p>
          <w:p w14:paraId="52AA9B95">
            <w:pPr>
              <w:spacing w:line="360" w:lineRule="auto"/>
              <w:rPr>
                <w:rFonts w:ascii="宋体"/>
                <w:color w:val="auto"/>
                <w:szCs w:val="21"/>
                <w:highlight w:val="none"/>
              </w:rPr>
            </w:pPr>
            <w:r>
              <w:rPr>
                <w:rFonts w:hint="eastAsia" w:ascii="宋体"/>
                <w:b/>
                <w:bCs/>
                <w:color w:val="auto"/>
                <w:szCs w:val="21"/>
                <w:highlight w:val="none"/>
              </w:rPr>
              <w:t>*</w:t>
            </w:r>
            <w:r>
              <w:rPr>
                <w:rFonts w:hint="eastAsia" w:ascii="宋体"/>
                <w:color w:val="auto"/>
                <w:szCs w:val="21"/>
                <w:highlight w:val="none"/>
              </w:rPr>
              <w:t>注：所有的退费业务均做冲红处理，不分单日、次日、是否跨收费点。</w:t>
            </w:r>
          </w:p>
        </w:tc>
      </w:tr>
      <w:tr w14:paraId="1A4A1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noWrap w:val="0"/>
            <w:vAlign w:val="center"/>
          </w:tcPr>
          <w:p w14:paraId="02CB6ABC">
            <w:pPr>
              <w:spacing w:line="360" w:lineRule="auto"/>
              <w:jc w:val="center"/>
              <w:rPr>
                <w:rFonts w:ascii="宋体"/>
                <w:color w:val="auto"/>
                <w:szCs w:val="21"/>
                <w:highlight w:val="none"/>
              </w:rPr>
            </w:pPr>
            <w:r>
              <w:rPr>
                <w:rFonts w:hint="eastAsia" w:ascii="宋体"/>
                <w:color w:val="auto"/>
                <w:szCs w:val="21"/>
                <w:highlight w:val="none"/>
              </w:rPr>
              <w:t>4</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1058409">
            <w:pPr>
              <w:spacing w:line="360" w:lineRule="auto"/>
              <w:rPr>
                <w:rFonts w:ascii="宋体"/>
                <w:color w:val="auto"/>
                <w:szCs w:val="21"/>
                <w:highlight w:val="none"/>
              </w:rPr>
            </w:pPr>
            <w:r>
              <w:rPr>
                <w:rFonts w:hint="eastAsia" w:ascii="宋体"/>
                <w:color w:val="auto"/>
                <w:szCs w:val="21"/>
                <w:highlight w:val="none"/>
              </w:rPr>
              <w:t>出院结算开票</w:t>
            </w:r>
          </w:p>
        </w:tc>
        <w:tc>
          <w:tcPr>
            <w:tcW w:w="6191" w:type="dxa"/>
            <w:tcBorders>
              <w:top w:val="single" w:color="auto" w:sz="4" w:space="0"/>
              <w:left w:val="single" w:color="auto" w:sz="4" w:space="0"/>
              <w:bottom w:val="single" w:color="auto" w:sz="4" w:space="0"/>
              <w:right w:val="single" w:color="auto" w:sz="4" w:space="0"/>
            </w:tcBorders>
            <w:noWrap w:val="0"/>
            <w:vAlign w:val="center"/>
          </w:tcPr>
          <w:p w14:paraId="3D23F6EB">
            <w:pPr>
              <w:spacing w:line="360" w:lineRule="auto"/>
              <w:rPr>
                <w:rFonts w:ascii="宋体"/>
                <w:color w:val="auto"/>
                <w:szCs w:val="21"/>
                <w:highlight w:val="none"/>
              </w:rPr>
            </w:pPr>
            <w:r>
              <w:rPr>
                <w:rFonts w:hint="eastAsia" w:ascii="宋体"/>
                <w:color w:val="auto"/>
                <w:szCs w:val="21"/>
                <w:highlight w:val="none"/>
              </w:rPr>
              <w:t>（1）住院患者办理出院结算手续，收费处进行出院结算时，医疗电子票平台根据出院结算信息生成对应电子票据。</w:t>
            </w:r>
          </w:p>
          <w:p w14:paraId="219F0C7C">
            <w:pPr>
              <w:spacing w:line="360" w:lineRule="auto"/>
              <w:rPr>
                <w:rFonts w:ascii="宋体"/>
                <w:color w:val="auto"/>
                <w:szCs w:val="21"/>
                <w:highlight w:val="none"/>
              </w:rPr>
            </w:pPr>
            <w:r>
              <w:rPr>
                <w:rFonts w:hint="eastAsia" w:ascii="宋体"/>
                <w:color w:val="auto"/>
                <w:szCs w:val="21"/>
                <w:highlight w:val="none"/>
              </w:rPr>
              <w:t>（2）电子票据通过多种方式推送至入院登记人。</w:t>
            </w:r>
          </w:p>
        </w:tc>
      </w:tr>
      <w:tr w14:paraId="05805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noWrap w:val="0"/>
            <w:vAlign w:val="center"/>
          </w:tcPr>
          <w:p w14:paraId="07AABEEA">
            <w:pPr>
              <w:spacing w:line="360" w:lineRule="auto"/>
              <w:jc w:val="center"/>
              <w:rPr>
                <w:rFonts w:ascii="宋体"/>
                <w:color w:val="auto"/>
                <w:szCs w:val="21"/>
                <w:highlight w:val="none"/>
              </w:rPr>
            </w:pPr>
            <w:r>
              <w:rPr>
                <w:rFonts w:hint="eastAsia" w:ascii="宋体"/>
                <w:color w:val="auto"/>
                <w:szCs w:val="21"/>
                <w:highlight w:val="none"/>
              </w:rPr>
              <w:t>5</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9A875F9">
            <w:pPr>
              <w:spacing w:line="360" w:lineRule="auto"/>
              <w:rPr>
                <w:rFonts w:ascii="宋体"/>
                <w:color w:val="auto"/>
                <w:szCs w:val="21"/>
                <w:highlight w:val="none"/>
              </w:rPr>
            </w:pPr>
            <w:r>
              <w:rPr>
                <w:rFonts w:hint="eastAsia" w:ascii="宋体"/>
                <w:color w:val="auto"/>
                <w:szCs w:val="21"/>
                <w:highlight w:val="none"/>
              </w:rPr>
              <w:t>住院患者退费</w:t>
            </w:r>
          </w:p>
        </w:tc>
        <w:tc>
          <w:tcPr>
            <w:tcW w:w="6191" w:type="dxa"/>
            <w:tcBorders>
              <w:top w:val="single" w:color="auto" w:sz="4" w:space="0"/>
              <w:left w:val="single" w:color="auto" w:sz="4" w:space="0"/>
              <w:bottom w:val="single" w:color="auto" w:sz="4" w:space="0"/>
              <w:right w:val="single" w:color="auto" w:sz="4" w:space="0"/>
            </w:tcBorders>
            <w:noWrap w:val="0"/>
            <w:vAlign w:val="center"/>
          </w:tcPr>
          <w:p w14:paraId="6C27FF0E">
            <w:pPr>
              <w:spacing w:line="360" w:lineRule="auto"/>
              <w:rPr>
                <w:rFonts w:ascii="宋体"/>
                <w:color w:val="auto"/>
                <w:szCs w:val="21"/>
                <w:highlight w:val="none"/>
              </w:rPr>
            </w:pPr>
            <w:r>
              <w:rPr>
                <w:rFonts w:hint="eastAsia" w:ascii="宋体"/>
                <w:color w:val="auto"/>
                <w:szCs w:val="21"/>
                <w:highlight w:val="none"/>
              </w:rPr>
              <w:t>（1）患者出院结算当时，发现收取错误，即时冲红对应的电子票据，并开出新的电子票据。</w:t>
            </w:r>
          </w:p>
          <w:p w14:paraId="0D966E06">
            <w:pPr>
              <w:spacing w:line="360" w:lineRule="auto"/>
              <w:rPr>
                <w:rFonts w:ascii="宋体"/>
                <w:color w:val="auto"/>
                <w:szCs w:val="21"/>
                <w:highlight w:val="none"/>
              </w:rPr>
            </w:pPr>
            <w:r>
              <w:rPr>
                <w:rFonts w:hint="eastAsia" w:ascii="宋体"/>
                <w:color w:val="auto"/>
                <w:szCs w:val="21"/>
                <w:highlight w:val="none"/>
              </w:rPr>
              <w:t>（2）离院后，发现收取错误。与门诊退费流程一致。</w:t>
            </w:r>
          </w:p>
        </w:tc>
      </w:tr>
      <w:tr w14:paraId="35A1B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noWrap w:val="0"/>
            <w:vAlign w:val="center"/>
          </w:tcPr>
          <w:p w14:paraId="17AC631E">
            <w:pPr>
              <w:spacing w:line="360" w:lineRule="auto"/>
              <w:jc w:val="center"/>
              <w:rPr>
                <w:rFonts w:ascii="宋体"/>
                <w:color w:val="auto"/>
                <w:szCs w:val="21"/>
                <w:highlight w:val="none"/>
              </w:rPr>
            </w:pPr>
            <w:r>
              <w:rPr>
                <w:rFonts w:hint="eastAsia" w:ascii="宋体"/>
                <w:color w:val="auto"/>
                <w:szCs w:val="21"/>
                <w:highlight w:val="none"/>
              </w:rPr>
              <w:t>6</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12C1C6F">
            <w:pPr>
              <w:spacing w:line="360" w:lineRule="auto"/>
              <w:rPr>
                <w:rFonts w:ascii="宋体"/>
                <w:color w:val="auto"/>
                <w:szCs w:val="21"/>
                <w:highlight w:val="none"/>
              </w:rPr>
            </w:pPr>
            <w:r>
              <w:rPr>
                <w:rFonts w:hint="eastAsia" w:ascii="宋体"/>
                <w:color w:val="auto"/>
                <w:szCs w:val="21"/>
                <w:highlight w:val="none"/>
              </w:rPr>
              <w:t>收费及开票数据核对</w:t>
            </w:r>
          </w:p>
        </w:tc>
        <w:tc>
          <w:tcPr>
            <w:tcW w:w="6191" w:type="dxa"/>
            <w:tcBorders>
              <w:top w:val="single" w:color="auto" w:sz="4" w:space="0"/>
              <w:left w:val="single" w:color="auto" w:sz="4" w:space="0"/>
              <w:bottom w:val="single" w:color="auto" w:sz="4" w:space="0"/>
              <w:right w:val="single" w:color="auto" w:sz="4" w:space="0"/>
            </w:tcBorders>
            <w:noWrap w:val="0"/>
            <w:vAlign w:val="center"/>
          </w:tcPr>
          <w:p w14:paraId="5D31BE9B">
            <w:pPr>
              <w:spacing w:line="360" w:lineRule="auto"/>
              <w:rPr>
                <w:rFonts w:ascii="宋体"/>
                <w:color w:val="auto"/>
                <w:szCs w:val="21"/>
                <w:highlight w:val="none"/>
              </w:rPr>
            </w:pPr>
            <w:r>
              <w:rPr>
                <w:rFonts w:hint="eastAsia" w:ascii="宋体"/>
                <w:color w:val="auto"/>
                <w:szCs w:val="21"/>
                <w:highlight w:val="none"/>
              </w:rPr>
              <w:t>（1）每日，HIS和医疗电子票平台分别生成对应日报表。</w:t>
            </w:r>
          </w:p>
          <w:p w14:paraId="73578F5C">
            <w:pPr>
              <w:spacing w:line="360" w:lineRule="auto"/>
              <w:rPr>
                <w:rFonts w:ascii="宋体"/>
                <w:color w:val="auto"/>
                <w:szCs w:val="21"/>
                <w:highlight w:val="none"/>
              </w:rPr>
            </w:pPr>
            <w:r>
              <w:rPr>
                <w:rFonts w:hint="eastAsia" w:ascii="宋体"/>
                <w:color w:val="auto"/>
                <w:szCs w:val="21"/>
                <w:highlight w:val="none"/>
              </w:rPr>
              <w:t>（2）日终，收费员核对窗口数据并进行日终结算，HIS汇总当天收费明细数据，发送给医疗电子票据平台。信息需包含业务流水号、电子票号及对应的明细。</w:t>
            </w:r>
          </w:p>
          <w:p w14:paraId="0A82D747">
            <w:pPr>
              <w:spacing w:line="360" w:lineRule="auto"/>
              <w:rPr>
                <w:rFonts w:ascii="宋体"/>
                <w:color w:val="auto"/>
                <w:szCs w:val="21"/>
                <w:highlight w:val="none"/>
              </w:rPr>
            </w:pPr>
            <w:r>
              <w:rPr>
                <w:rFonts w:hint="eastAsia" w:ascii="宋体"/>
                <w:color w:val="auto"/>
                <w:szCs w:val="21"/>
                <w:highlight w:val="none"/>
              </w:rPr>
              <w:t>（3）HIS发起数据核对请求，医疗电子平台通过数据核对系统，核对收费及开票明细产出差异结果。</w:t>
            </w:r>
          </w:p>
          <w:p w14:paraId="34E8DA9F">
            <w:pPr>
              <w:spacing w:line="360" w:lineRule="auto"/>
              <w:rPr>
                <w:rFonts w:ascii="宋体"/>
                <w:color w:val="auto"/>
                <w:szCs w:val="21"/>
                <w:highlight w:val="none"/>
              </w:rPr>
            </w:pPr>
            <w:r>
              <w:rPr>
                <w:rFonts w:hint="eastAsia" w:ascii="宋体"/>
                <w:color w:val="auto"/>
                <w:szCs w:val="21"/>
                <w:highlight w:val="none"/>
              </w:rPr>
              <w:t>（4）针对差异结果进行技术差错补偿处理，例如开票过程中因网络原因导致双方数据不完整的情况。</w:t>
            </w:r>
          </w:p>
          <w:p w14:paraId="624A6BDB">
            <w:pPr>
              <w:spacing w:line="360" w:lineRule="auto"/>
              <w:rPr>
                <w:rFonts w:ascii="宋体"/>
                <w:color w:val="auto"/>
                <w:szCs w:val="21"/>
                <w:highlight w:val="none"/>
              </w:rPr>
            </w:pPr>
            <w:r>
              <w:rPr>
                <w:rFonts w:hint="eastAsia" w:ascii="宋体"/>
                <w:color w:val="auto"/>
                <w:szCs w:val="21"/>
                <w:highlight w:val="none"/>
              </w:rPr>
              <w:t>（5）技术差错处理完成后，自动进行二次核对后，产出差异日报和差错处理报告。</w:t>
            </w:r>
          </w:p>
        </w:tc>
      </w:tr>
      <w:tr w14:paraId="06FB9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noWrap w:val="0"/>
            <w:vAlign w:val="center"/>
          </w:tcPr>
          <w:p w14:paraId="495B2DEA">
            <w:pPr>
              <w:spacing w:line="360" w:lineRule="auto"/>
              <w:jc w:val="center"/>
              <w:rPr>
                <w:rFonts w:hint="eastAsia" w:ascii="宋体" w:eastAsiaTheme="minorEastAsia"/>
                <w:color w:val="auto"/>
                <w:szCs w:val="21"/>
                <w:highlight w:val="none"/>
                <w:lang w:eastAsia="zh-CN"/>
              </w:rPr>
            </w:pPr>
            <w:r>
              <w:rPr>
                <w:rFonts w:hint="eastAsia" w:ascii="宋体"/>
                <w:color w:val="auto"/>
                <w:szCs w:val="21"/>
                <w:highlight w:val="none"/>
                <w:lang w:val="en-US" w:eastAsia="zh-CN"/>
              </w:rPr>
              <w:t>7</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2C1084C">
            <w:pPr>
              <w:spacing w:line="360" w:lineRule="auto"/>
              <w:rPr>
                <w:rFonts w:ascii="宋体"/>
                <w:color w:val="auto"/>
                <w:szCs w:val="21"/>
                <w:highlight w:val="none"/>
              </w:rPr>
            </w:pPr>
            <w:r>
              <w:rPr>
                <w:rFonts w:hint="eastAsia" w:ascii="宋体"/>
                <w:color w:val="auto"/>
                <w:szCs w:val="21"/>
                <w:highlight w:val="none"/>
              </w:rPr>
              <w:t>电子票据管理</w:t>
            </w:r>
          </w:p>
        </w:tc>
        <w:tc>
          <w:tcPr>
            <w:tcW w:w="6191" w:type="dxa"/>
            <w:tcBorders>
              <w:top w:val="single" w:color="auto" w:sz="4" w:space="0"/>
              <w:left w:val="single" w:color="auto" w:sz="4" w:space="0"/>
              <w:bottom w:val="single" w:color="auto" w:sz="4" w:space="0"/>
              <w:right w:val="single" w:color="auto" w:sz="4" w:space="0"/>
            </w:tcBorders>
            <w:noWrap w:val="0"/>
            <w:vAlign w:val="center"/>
          </w:tcPr>
          <w:p w14:paraId="08CB36B6">
            <w:pPr>
              <w:spacing w:line="360" w:lineRule="auto"/>
              <w:rPr>
                <w:rFonts w:ascii="宋体"/>
                <w:color w:val="auto"/>
                <w:szCs w:val="21"/>
                <w:highlight w:val="none"/>
              </w:rPr>
            </w:pPr>
            <w:r>
              <w:rPr>
                <w:rFonts w:hint="eastAsia" w:ascii="宋体"/>
                <w:color w:val="auto"/>
                <w:szCs w:val="21"/>
                <w:highlight w:val="none"/>
              </w:rPr>
              <w:t>电子票据管理：由财务科和收费结算中心在线提交票据申领单向财政申领票据，财政部门审核后，进行票据发放，财务科和收费结算中心进行票据入库。</w:t>
            </w:r>
          </w:p>
          <w:p w14:paraId="13B9EBA1">
            <w:pPr>
              <w:spacing w:line="360" w:lineRule="auto"/>
              <w:rPr>
                <w:rFonts w:ascii="宋体"/>
                <w:color w:val="auto"/>
                <w:szCs w:val="21"/>
                <w:highlight w:val="none"/>
              </w:rPr>
            </w:pPr>
            <w:r>
              <w:rPr>
                <w:rFonts w:hint="eastAsia" w:ascii="宋体"/>
                <w:color w:val="auto"/>
                <w:szCs w:val="21"/>
                <w:highlight w:val="none"/>
              </w:rPr>
              <w:t>收费结算中心按票号段逐级将电子票号分发到收费员，收费员按顺序使用电子票号，系统实时监测库存情况，低于警戒线时，自动向上级机构领取电子票号并入库。</w:t>
            </w:r>
          </w:p>
          <w:p w14:paraId="54BE0B5F">
            <w:pPr>
              <w:spacing w:line="360" w:lineRule="auto"/>
              <w:rPr>
                <w:rFonts w:ascii="宋体"/>
                <w:color w:val="auto"/>
                <w:szCs w:val="21"/>
                <w:highlight w:val="none"/>
              </w:rPr>
            </w:pPr>
            <w:r>
              <w:rPr>
                <w:rFonts w:hint="eastAsia" w:ascii="宋体"/>
                <w:color w:val="auto"/>
                <w:szCs w:val="21"/>
                <w:highlight w:val="none"/>
              </w:rPr>
              <w:t>当收费结算中心库存不足时，系统自动发出预警，库存专管员需要及时向财政申领电子票号。</w:t>
            </w:r>
          </w:p>
        </w:tc>
      </w:tr>
      <w:tr w14:paraId="58B85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noWrap w:val="0"/>
            <w:vAlign w:val="center"/>
          </w:tcPr>
          <w:p w14:paraId="6B1ECC7B">
            <w:pPr>
              <w:spacing w:line="360" w:lineRule="auto"/>
              <w:jc w:val="center"/>
              <w:rPr>
                <w:rFonts w:hint="eastAsia" w:ascii="宋体" w:eastAsiaTheme="minorEastAsia"/>
                <w:color w:val="auto"/>
                <w:szCs w:val="21"/>
                <w:highlight w:val="none"/>
                <w:lang w:eastAsia="zh-CN"/>
              </w:rPr>
            </w:pPr>
            <w:r>
              <w:rPr>
                <w:rFonts w:hint="eastAsia" w:ascii="宋体"/>
                <w:color w:val="auto"/>
                <w:szCs w:val="21"/>
                <w:highlight w:val="none"/>
                <w:lang w:val="en-US" w:eastAsia="zh-CN"/>
              </w:rPr>
              <w:t>8</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E367C00">
            <w:pPr>
              <w:spacing w:line="360" w:lineRule="auto"/>
              <w:rPr>
                <w:rFonts w:ascii="宋体"/>
                <w:color w:val="auto"/>
                <w:szCs w:val="21"/>
                <w:highlight w:val="none"/>
              </w:rPr>
            </w:pPr>
            <w:r>
              <w:rPr>
                <w:rFonts w:hint="eastAsia" w:ascii="宋体"/>
                <w:color w:val="auto"/>
                <w:szCs w:val="21"/>
                <w:highlight w:val="none"/>
              </w:rPr>
              <w:t>开票点管理</w:t>
            </w:r>
          </w:p>
        </w:tc>
        <w:tc>
          <w:tcPr>
            <w:tcW w:w="6191" w:type="dxa"/>
            <w:tcBorders>
              <w:top w:val="single" w:color="auto" w:sz="4" w:space="0"/>
              <w:left w:val="single" w:color="auto" w:sz="4" w:space="0"/>
              <w:bottom w:val="single" w:color="auto" w:sz="4" w:space="0"/>
              <w:right w:val="single" w:color="auto" w:sz="4" w:space="0"/>
            </w:tcBorders>
            <w:noWrap w:val="0"/>
            <w:vAlign w:val="center"/>
          </w:tcPr>
          <w:p w14:paraId="1EAA1B10">
            <w:pPr>
              <w:spacing w:line="360" w:lineRule="auto"/>
              <w:rPr>
                <w:rFonts w:ascii="宋体"/>
                <w:color w:val="auto"/>
                <w:szCs w:val="21"/>
                <w:highlight w:val="none"/>
              </w:rPr>
            </w:pPr>
            <w:r>
              <w:rPr>
                <w:rFonts w:hint="eastAsia" w:ascii="宋体"/>
                <w:color w:val="auto"/>
                <w:szCs w:val="21"/>
                <w:highlight w:val="none"/>
              </w:rPr>
              <w:t>根据医院实际业务情况，在系统中进行开票点创建，并对开票的用户信息、可用项目信息、可用票据信息及印制应用信息进行管理。单位开票点可以只创建一级，也可以创建多级。</w:t>
            </w:r>
          </w:p>
          <w:p w14:paraId="46E20BC6">
            <w:pPr>
              <w:spacing w:line="360" w:lineRule="auto"/>
              <w:rPr>
                <w:rFonts w:ascii="宋体"/>
                <w:color w:val="auto"/>
                <w:szCs w:val="21"/>
                <w:highlight w:val="none"/>
              </w:rPr>
            </w:pPr>
            <w:r>
              <w:rPr>
                <w:rFonts w:hint="eastAsia" w:ascii="宋体"/>
                <w:color w:val="auto"/>
                <w:szCs w:val="21"/>
                <w:highlight w:val="none"/>
              </w:rPr>
              <w:t>已有业务数据发生的开票点不能删除，只能停用。</w:t>
            </w:r>
          </w:p>
        </w:tc>
      </w:tr>
      <w:tr w14:paraId="52EF8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noWrap w:val="0"/>
            <w:vAlign w:val="center"/>
          </w:tcPr>
          <w:p w14:paraId="10121038">
            <w:pPr>
              <w:spacing w:line="360" w:lineRule="auto"/>
              <w:jc w:val="center"/>
              <w:rPr>
                <w:rFonts w:hint="eastAsia" w:ascii="宋体" w:eastAsiaTheme="minorEastAsia"/>
                <w:color w:val="auto"/>
                <w:szCs w:val="21"/>
                <w:highlight w:val="none"/>
                <w:lang w:eastAsia="zh-CN"/>
              </w:rPr>
            </w:pPr>
            <w:r>
              <w:rPr>
                <w:rFonts w:hint="eastAsia" w:ascii="宋体"/>
                <w:color w:val="auto"/>
                <w:szCs w:val="21"/>
                <w:highlight w:val="none"/>
                <w:lang w:val="en-US" w:eastAsia="zh-CN"/>
              </w:rPr>
              <w:t>9</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A5DBFE0">
            <w:pPr>
              <w:spacing w:line="360" w:lineRule="auto"/>
              <w:rPr>
                <w:rFonts w:ascii="宋体"/>
                <w:color w:val="auto"/>
                <w:szCs w:val="21"/>
                <w:highlight w:val="none"/>
              </w:rPr>
            </w:pPr>
            <w:r>
              <w:rPr>
                <w:rFonts w:hint="eastAsia" w:ascii="宋体"/>
                <w:color w:val="auto"/>
                <w:szCs w:val="21"/>
                <w:highlight w:val="none"/>
              </w:rPr>
              <w:t>收费部门管理</w:t>
            </w:r>
          </w:p>
        </w:tc>
        <w:tc>
          <w:tcPr>
            <w:tcW w:w="6191" w:type="dxa"/>
            <w:tcBorders>
              <w:top w:val="single" w:color="auto" w:sz="4" w:space="0"/>
              <w:left w:val="single" w:color="auto" w:sz="4" w:space="0"/>
              <w:bottom w:val="single" w:color="auto" w:sz="4" w:space="0"/>
              <w:right w:val="single" w:color="auto" w:sz="4" w:space="0"/>
            </w:tcBorders>
            <w:noWrap w:val="0"/>
            <w:vAlign w:val="center"/>
          </w:tcPr>
          <w:p w14:paraId="39514FFD">
            <w:pPr>
              <w:spacing w:line="360" w:lineRule="auto"/>
              <w:rPr>
                <w:rFonts w:ascii="宋体"/>
                <w:color w:val="auto"/>
                <w:szCs w:val="21"/>
                <w:highlight w:val="none"/>
              </w:rPr>
            </w:pPr>
            <w:r>
              <w:rPr>
                <w:rFonts w:hint="eastAsia" w:ascii="宋体"/>
                <w:color w:val="auto"/>
                <w:szCs w:val="21"/>
                <w:highlight w:val="none"/>
              </w:rPr>
              <w:t>医院在实际业务情况中存在多个不同的收费部门，各收费部门对应多个开票点，因此需在系统中进行收费部门创建，创建完毕后挂接本收费部门所对应的开票点。</w:t>
            </w:r>
          </w:p>
        </w:tc>
      </w:tr>
      <w:tr w14:paraId="19A31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noWrap w:val="0"/>
            <w:vAlign w:val="center"/>
          </w:tcPr>
          <w:p w14:paraId="3F09449A">
            <w:pPr>
              <w:spacing w:line="360" w:lineRule="auto"/>
              <w:jc w:val="center"/>
              <w:rPr>
                <w:rFonts w:hint="default" w:ascii="宋体" w:eastAsiaTheme="minorEastAsia"/>
                <w:color w:val="auto"/>
                <w:szCs w:val="21"/>
                <w:highlight w:val="none"/>
                <w:lang w:val="en-US" w:eastAsia="zh-CN"/>
              </w:rPr>
            </w:pPr>
            <w:r>
              <w:rPr>
                <w:rFonts w:hint="eastAsia" w:ascii="宋体"/>
                <w:color w:val="auto"/>
                <w:szCs w:val="21"/>
                <w:highlight w:val="none"/>
                <w:lang w:val="en-US" w:eastAsia="zh-CN"/>
              </w:rPr>
              <w:t>10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D00E644">
            <w:pPr>
              <w:spacing w:line="360" w:lineRule="auto"/>
              <w:rPr>
                <w:rFonts w:ascii="宋体"/>
                <w:color w:val="auto"/>
                <w:szCs w:val="21"/>
                <w:highlight w:val="none"/>
              </w:rPr>
            </w:pPr>
            <w:r>
              <w:rPr>
                <w:rFonts w:hint="eastAsia" w:ascii="宋体"/>
                <w:color w:val="auto"/>
                <w:szCs w:val="21"/>
                <w:highlight w:val="none"/>
              </w:rPr>
              <w:t>收费员管理</w:t>
            </w:r>
          </w:p>
        </w:tc>
        <w:tc>
          <w:tcPr>
            <w:tcW w:w="6191" w:type="dxa"/>
            <w:tcBorders>
              <w:top w:val="single" w:color="auto" w:sz="4" w:space="0"/>
              <w:left w:val="single" w:color="auto" w:sz="4" w:space="0"/>
              <w:bottom w:val="single" w:color="auto" w:sz="4" w:space="0"/>
              <w:right w:val="single" w:color="auto" w:sz="4" w:space="0"/>
            </w:tcBorders>
            <w:noWrap w:val="0"/>
            <w:vAlign w:val="center"/>
          </w:tcPr>
          <w:p w14:paraId="3690E9E3">
            <w:pPr>
              <w:spacing w:line="360" w:lineRule="auto"/>
              <w:rPr>
                <w:rFonts w:ascii="宋体"/>
                <w:color w:val="auto"/>
                <w:szCs w:val="21"/>
                <w:highlight w:val="none"/>
              </w:rPr>
            </w:pPr>
            <w:r>
              <w:rPr>
                <w:rFonts w:hint="eastAsia" w:ascii="宋体"/>
                <w:color w:val="auto"/>
                <w:szCs w:val="21"/>
                <w:highlight w:val="none"/>
              </w:rPr>
              <w:t>在医疗平台中维护HIS系统中对应的收费员信息，并与医疗平台中已维护的用户信息进行绑定。便于医疗平台按照收费员信息统计查看医疗电子票据平台相关报表数据；</w:t>
            </w:r>
          </w:p>
          <w:p w14:paraId="20AE239C">
            <w:pPr>
              <w:spacing w:line="360" w:lineRule="auto"/>
              <w:rPr>
                <w:rFonts w:ascii="宋体"/>
                <w:color w:val="auto"/>
                <w:szCs w:val="21"/>
                <w:highlight w:val="none"/>
              </w:rPr>
            </w:pPr>
            <w:r>
              <w:rPr>
                <w:rFonts w:hint="eastAsia" w:ascii="宋体"/>
                <w:color w:val="auto"/>
                <w:szCs w:val="21"/>
                <w:highlight w:val="none"/>
              </w:rPr>
              <w:t>（1）新增收费员信息，按照HIS系统收费员信息在医疗平台维护收费员编码、名称及联系方式等。</w:t>
            </w:r>
          </w:p>
          <w:p w14:paraId="56EF173A">
            <w:pPr>
              <w:spacing w:line="360" w:lineRule="auto"/>
              <w:rPr>
                <w:rFonts w:ascii="宋体"/>
                <w:color w:val="auto"/>
                <w:szCs w:val="21"/>
                <w:highlight w:val="none"/>
              </w:rPr>
            </w:pPr>
            <w:r>
              <w:rPr>
                <w:rFonts w:hint="eastAsia" w:ascii="宋体"/>
                <w:color w:val="auto"/>
                <w:szCs w:val="21"/>
                <w:highlight w:val="none"/>
              </w:rPr>
              <w:t>（2）将新增的收费员信息与医疗平台的用户信息进行绑定。</w:t>
            </w:r>
          </w:p>
        </w:tc>
      </w:tr>
      <w:tr w14:paraId="2C61F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noWrap w:val="0"/>
            <w:vAlign w:val="center"/>
          </w:tcPr>
          <w:p w14:paraId="7B80710A">
            <w:pPr>
              <w:spacing w:line="360" w:lineRule="auto"/>
              <w:jc w:val="center"/>
              <w:rPr>
                <w:rFonts w:hint="default" w:ascii="宋体" w:eastAsiaTheme="minorEastAsia"/>
                <w:color w:val="auto"/>
                <w:szCs w:val="21"/>
                <w:highlight w:val="none"/>
                <w:lang w:val="en-US" w:eastAsia="zh-CN"/>
              </w:rPr>
            </w:pPr>
            <w:r>
              <w:rPr>
                <w:rFonts w:hint="eastAsia" w:ascii="宋体"/>
                <w:color w:val="auto"/>
                <w:szCs w:val="21"/>
                <w:highlight w:val="none"/>
                <w:lang w:val="en-US" w:eastAsia="zh-CN"/>
              </w:rPr>
              <w:t>11</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FB95032">
            <w:pPr>
              <w:spacing w:line="360" w:lineRule="auto"/>
              <w:rPr>
                <w:rFonts w:ascii="宋体"/>
                <w:color w:val="auto"/>
                <w:szCs w:val="21"/>
                <w:highlight w:val="none"/>
              </w:rPr>
            </w:pPr>
            <w:r>
              <w:rPr>
                <w:rFonts w:hint="eastAsia" w:ascii="宋体"/>
                <w:color w:val="auto"/>
                <w:szCs w:val="21"/>
                <w:highlight w:val="none"/>
              </w:rPr>
              <w:t>项目分组管理</w:t>
            </w:r>
          </w:p>
        </w:tc>
        <w:tc>
          <w:tcPr>
            <w:tcW w:w="6191" w:type="dxa"/>
            <w:tcBorders>
              <w:top w:val="single" w:color="auto" w:sz="4" w:space="0"/>
              <w:left w:val="single" w:color="auto" w:sz="4" w:space="0"/>
              <w:bottom w:val="single" w:color="auto" w:sz="4" w:space="0"/>
              <w:right w:val="single" w:color="auto" w:sz="4" w:space="0"/>
            </w:tcBorders>
            <w:noWrap w:val="0"/>
            <w:vAlign w:val="center"/>
          </w:tcPr>
          <w:p w14:paraId="745D7740">
            <w:pPr>
              <w:spacing w:line="360" w:lineRule="auto"/>
              <w:rPr>
                <w:rFonts w:ascii="宋体"/>
                <w:color w:val="auto"/>
                <w:szCs w:val="21"/>
                <w:highlight w:val="none"/>
              </w:rPr>
            </w:pPr>
            <w:r>
              <w:rPr>
                <w:rFonts w:hint="eastAsia" w:ascii="宋体"/>
                <w:color w:val="auto"/>
                <w:szCs w:val="21"/>
                <w:highlight w:val="none"/>
              </w:rPr>
              <w:t>根据医院业务需要，根据票据种类设定该票据的项目分组，项目分组是收费项目的组合。项目分组设置完毕后，在后续开票业务中，开具相同票据时相同收费项目时，票据种类选择完毕后，可直接选择对应的项目分组，系统自动按照分组内的收费项目及收费标准填充票面信息，实现快速开票。</w:t>
            </w:r>
          </w:p>
        </w:tc>
      </w:tr>
      <w:tr w14:paraId="7BD6B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noWrap w:val="0"/>
            <w:vAlign w:val="center"/>
          </w:tcPr>
          <w:p w14:paraId="6B62BE7D">
            <w:pPr>
              <w:spacing w:line="360" w:lineRule="auto"/>
              <w:jc w:val="center"/>
              <w:rPr>
                <w:rFonts w:hint="default" w:ascii="宋体" w:eastAsiaTheme="minorEastAsia"/>
                <w:color w:val="auto"/>
                <w:szCs w:val="21"/>
                <w:highlight w:val="none"/>
                <w:lang w:val="en-US" w:eastAsia="zh-CN"/>
              </w:rPr>
            </w:pPr>
            <w:r>
              <w:rPr>
                <w:rFonts w:hint="eastAsia" w:ascii="宋体"/>
                <w:color w:val="auto"/>
                <w:szCs w:val="21"/>
                <w:highlight w:val="none"/>
                <w:lang w:val="en-US" w:eastAsia="zh-CN"/>
              </w:rPr>
              <w:t>12</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85411A2">
            <w:pPr>
              <w:spacing w:line="360" w:lineRule="auto"/>
              <w:rPr>
                <w:rFonts w:ascii="宋体"/>
                <w:color w:val="auto"/>
                <w:szCs w:val="21"/>
                <w:highlight w:val="none"/>
              </w:rPr>
            </w:pPr>
            <w:r>
              <w:rPr>
                <w:rFonts w:hint="eastAsia" w:ascii="宋体"/>
                <w:color w:val="auto"/>
                <w:szCs w:val="21"/>
                <w:highlight w:val="none"/>
              </w:rPr>
              <w:t>业务类别维护</w:t>
            </w:r>
          </w:p>
        </w:tc>
        <w:tc>
          <w:tcPr>
            <w:tcW w:w="6191" w:type="dxa"/>
            <w:tcBorders>
              <w:top w:val="single" w:color="auto" w:sz="4" w:space="0"/>
              <w:left w:val="single" w:color="auto" w:sz="4" w:space="0"/>
              <w:bottom w:val="single" w:color="auto" w:sz="4" w:space="0"/>
              <w:right w:val="single" w:color="auto" w:sz="4" w:space="0"/>
            </w:tcBorders>
            <w:noWrap w:val="0"/>
            <w:vAlign w:val="center"/>
          </w:tcPr>
          <w:p w14:paraId="405DE9F0">
            <w:pPr>
              <w:spacing w:line="360" w:lineRule="auto"/>
              <w:rPr>
                <w:rFonts w:ascii="宋体"/>
                <w:color w:val="auto"/>
                <w:szCs w:val="21"/>
                <w:highlight w:val="none"/>
              </w:rPr>
            </w:pPr>
            <w:r>
              <w:rPr>
                <w:rFonts w:hint="eastAsia" w:ascii="宋体"/>
                <w:color w:val="auto"/>
                <w:szCs w:val="21"/>
                <w:highlight w:val="none"/>
              </w:rPr>
              <w:t>按照医院的各业务类别分别维护相应业务发生时所需开具的票据种类信息。当HIS系统调用医疗电子票据平台接口开具电子票据时，医疗电子票据平台将根据HIS系统发送的业务标识来自动判断本次应开具的票据种类信息。</w:t>
            </w:r>
          </w:p>
        </w:tc>
      </w:tr>
      <w:tr w14:paraId="5BAA4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noWrap w:val="0"/>
            <w:vAlign w:val="center"/>
          </w:tcPr>
          <w:p w14:paraId="4789F13F">
            <w:pPr>
              <w:spacing w:line="360" w:lineRule="auto"/>
              <w:jc w:val="center"/>
              <w:rPr>
                <w:rFonts w:hint="default" w:ascii="宋体" w:eastAsiaTheme="minorEastAsia"/>
                <w:color w:val="auto"/>
                <w:szCs w:val="21"/>
                <w:highlight w:val="none"/>
                <w:lang w:val="en-US" w:eastAsia="zh-CN"/>
              </w:rPr>
            </w:pPr>
            <w:r>
              <w:rPr>
                <w:rFonts w:hint="eastAsia" w:ascii="宋体"/>
                <w:color w:val="auto"/>
                <w:szCs w:val="21"/>
                <w:highlight w:val="none"/>
                <w:lang w:val="en-US" w:eastAsia="zh-CN"/>
              </w:rPr>
              <w:t>13</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EE25706">
            <w:pPr>
              <w:spacing w:line="360" w:lineRule="auto"/>
              <w:rPr>
                <w:rFonts w:ascii="宋体"/>
                <w:color w:val="auto"/>
                <w:szCs w:val="21"/>
                <w:highlight w:val="none"/>
              </w:rPr>
            </w:pPr>
            <w:r>
              <w:rPr>
                <w:rFonts w:hint="eastAsia" w:ascii="宋体"/>
                <w:color w:val="auto"/>
                <w:szCs w:val="21"/>
                <w:highlight w:val="none"/>
              </w:rPr>
              <w:t>编码对照管理</w:t>
            </w:r>
          </w:p>
        </w:tc>
        <w:tc>
          <w:tcPr>
            <w:tcW w:w="6191" w:type="dxa"/>
            <w:tcBorders>
              <w:top w:val="single" w:color="auto" w:sz="4" w:space="0"/>
              <w:left w:val="single" w:color="auto" w:sz="4" w:space="0"/>
              <w:bottom w:val="single" w:color="auto" w:sz="4" w:space="0"/>
              <w:right w:val="single" w:color="auto" w:sz="4" w:space="0"/>
            </w:tcBorders>
            <w:noWrap w:val="0"/>
            <w:vAlign w:val="center"/>
          </w:tcPr>
          <w:p w14:paraId="653F2484">
            <w:pPr>
              <w:spacing w:line="360" w:lineRule="auto"/>
              <w:rPr>
                <w:rFonts w:ascii="宋体"/>
                <w:color w:val="auto"/>
                <w:szCs w:val="21"/>
                <w:highlight w:val="none"/>
              </w:rPr>
            </w:pPr>
            <w:r>
              <w:rPr>
                <w:rFonts w:hint="eastAsia" w:ascii="宋体"/>
                <w:color w:val="auto"/>
                <w:szCs w:val="21"/>
                <w:highlight w:val="none"/>
              </w:rPr>
              <w:t>医院的HIS系统或其他与医疗票据平台对接的外部系统，所使用的编码规则未采用财政统一编码时，医疗单位需根据实际业务情况，将本医疗电子票据平台的基础信息与外部系统转入的基础信息进行编码对照。</w:t>
            </w:r>
          </w:p>
          <w:p w14:paraId="218E78FC">
            <w:pPr>
              <w:spacing w:line="360" w:lineRule="auto"/>
              <w:rPr>
                <w:rFonts w:ascii="宋体"/>
                <w:color w:val="auto"/>
                <w:szCs w:val="21"/>
                <w:highlight w:val="none"/>
              </w:rPr>
            </w:pPr>
            <w:r>
              <w:rPr>
                <w:rFonts w:hint="eastAsia" w:ascii="宋体"/>
                <w:color w:val="auto"/>
                <w:szCs w:val="21"/>
                <w:highlight w:val="none"/>
              </w:rPr>
              <w:t>医院新增对照模板时可选择需对照的基础数据，其中包括区划、单位、开票点、收费项目、交费渠道等其他基础信息对照。医疗平台根据对照模板设置的已启用对照项，显示相应的对照信息维护分页，且已启用的对照项必须进行相应的对照信息维护。</w:t>
            </w:r>
          </w:p>
        </w:tc>
      </w:tr>
      <w:tr w14:paraId="2D062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restart"/>
            <w:tcBorders>
              <w:top w:val="single" w:color="auto" w:sz="4" w:space="0"/>
              <w:left w:val="single" w:color="auto" w:sz="4" w:space="0"/>
              <w:right w:val="single" w:color="auto" w:sz="4" w:space="0"/>
            </w:tcBorders>
            <w:noWrap w:val="0"/>
            <w:vAlign w:val="center"/>
          </w:tcPr>
          <w:p w14:paraId="73E21218">
            <w:pPr>
              <w:spacing w:line="360" w:lineRule="auto"/>
              <w:jc w:val="center"/>
              <w:rPr>
                <w:rFonts w:hint="default" w:ascii="宋体" w:eastAsiaTheme="minorEastAsia"/>
                <w:color w:val="auto"/>
                <w:szCs w:val="21"/>
                <w:highlight w:val="none"/>
                <w:lang w:val="en-US" w:eastAsia="zh-CN"/>
              </w:rPr>
            </w:pPr>
            <w:r>
              <w:rPr>
                <w:rFonts w:hint="eastAsia" w:ascii="宋体"/>
                <w:color w:val="auto"/>
                <w:szCs w:val="21"/>
                <w:highlight w:val="none"/>
                <w:lang w:val="en-US" w:eastAsia="zh-CN"/>
              </w:rPr>
              <w:t>14</w:t>
            </w:r>
          </w:p>
        </w:tc>
        <w:tc>
          <w:tcPr>
            <w:tcW w:w="1843" w:type="dxa"/>
            <w:vMerge w:val="restart"/>
            <w:tcBorders>
              <w:top w:val="single" w:color="auto" w:sz="4" w:space="0"/>
              <w:left w:val="single" w:color="auto" w:sz="4" w:space="0"/>
              <w:right w:val="single" w:color="auto" w:sz="4" w:space="0"/>
            </w:tcBorders>
            <w:noWrap w:val="0"/>
            <w:vAlign w:val="center"/>
          </w:tcPr>
          <w:p w14:paraId="4C3E8DE5">
            <w:pPr>
              <w:spacing w:line="360" w:lineRule="auto"/>
              <w:rPr>
                <w:rFonts w:ascii="宋体"/>
                <w:color w:val="auto"/>
                <w:szCs w:val="21"/>
                <w:highlight w:val="none"/>
              </w:rPr>
            </w:pPr>
            <w:r>
              <w:rPr>
                <w:rFonts w:hint="eastAsia" w:ascii="宋体"/>
                <w:color w:val="auto"/>
                <w:szCs w:val="21"/>
                <w:highlight w:val="none"/>
              </w:rPr>
              <w:t>报表管理</w:t>
            </w:r>
          </w:p>
        </w:tc>
        <w:tc>
          <w:tcPr>
            <w:tcW w:w="6191" w:type="dxa"/>
            <w:tcBorders>
              <w:top w:val="single" w:color="auto" w:sz="4" w:space="0"/>
              <w:left w:val="single" w:color="auto" w:sz="4" w:space="0"/>
              <w:bottom w:val="single" w:color="auto" w:sz="4" w:space="0"/>
              <w:right w:val="single" w:color="auto" w:sz="4" w:space="0"/>
            </w:tcBorders>
            <w:noWrap w:val="0"/>
            <w:vAlign w:val="center"/>
          </w:tcPr>
          <w:p w14:paraId="65268FB7">
            <w:pPr>
              <w:spacing w:line="360" w:lineRule="auto"/>
              <w:rPr>
                <w:rFonts w:ascii="宋体"/>
                <w:color w:val="auto"/>
                <w:szCs w:val="21"/>
                <w:highlight w:val="none"/>
              </w:rPr>
            </w:pPr>
            <w:r>
              <w:rPr>
                <w:rFonts w:hint="eastAsia" w:ascii="宋体"/>
                <w:color w:val="auto"/>
                <w:szCs w:val="21"/>
                <w:highlight w:val="none"/>
              </w:rPr>
              <w:t>（1）库存结余表：医院或开票点用户查看本部门及下属部门的各票据种类库存情况。</w:t>
            </w:r>
          </w:p>
        </w:tc>
      </w:tr>
      <w:tr w14:paraId="15CAF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Borders>
              <w:left w:val="single" w:color="auto" w:sz="4" w:space="0"/>
              <w:right w:val="single" w:color="auto" w:sz="4" w:space="0"/>
            </w:tcBorders>
            <w:noWrap w:val="0"/>
            <w:vAlign w:val="center"/>
          </w:tcPr>
          <w:p w14:paraId="52A57FFC">
            <w:pPr>
              <w:spacing w:line="360" w:lineRule="auto"/>
              <w:jc w:val="center"/>
              <w:rPr>
                <w:rFonts w:ascii="宋体"/>
                <w:color w:val="auto"/>
                <w:szCs w:val="21"/>
                <w:highlight w:val="none"/>
              </w:rPr>
            </w:pPr>
          </w:p>
        </w:tc>
        <w:tc>
          <w:tcPr>
            <w:tcW w:w="1843" w:type="dxa"/>
            <w:vMerge w:val="continue"/>
            <w:tcBorders>
              <w:left w:val="single" w:color="auto" w:sz="4" w:space="0"/>
              <w:right w:val="single" w:color="auto" w:sz="4" w:space="0"/>
            </w:tcBorders>
            <w:noWrap w:val="0"/>
            <w:vAlign w:val="center"/>
          </w:tcPr>
          <w:p w14:paraId="0CB4EFBB">
            <w:pPr>
              <w:spacing w:line="360" w:lineRule="auto"/>
              <w:rPr>
                <w:rFonts w:ascii="宋体"/>
                <w:color w:val="auto"/>
                <w:szCs w:val="21"/>
                <w:highlight w:val="none"/>
              </w:rPr>
            </w:pPr>
          </w:p>
        </w:tc>
        <w:tc>
          <w:tcPr>
            <w:tcW w:w="6191" w:type="dxa"/>
            <w:tcBorders>
              <w:top w:val="single" w:color="auto" w:sz="4" w:space="0"/>
              <w:left w:val="single" w:color="auto" w:sz="4" w:space="0"/>
              <w:bottom w:val="single" w:color="auto" w:sz="4" w:space="0"/>
              <w:right w:val="single" w:color="auto" w:sz="4" w:space="0"/>
            </w:tcBorders>
            <w:noWrap w:val="0"/>
            <w:vAlign w:val="center"/>
          </w:tcPr>
          <w:p w14:paraId="52CE69D6">
            <w:pPr>
              <w:spacing w:line="360" w:lineRule="auto"/>
              <w:rPr>
                <w:rFonts w:ascii="宋体"/>
                <w:color w:val="auto"/>
                <w:szCs w:val="21"/>
                <w:highlight w:val="none"/>
              </w:rPr>
            </w:pPr>
            <w:r>
              <w:rPr>
                <w:rFonts w:hint="eastAsia" w:ascii="宋体"/>
                <w:color w:val="auto"/>
                <w:szCs w:val="21"/>
                <w:highlight w:val="none"/>
              </w:rPr>
              <w:t>（2）医疗电子票据明细表：该表用于医院或开票点用户查看本机构的开票明细情况，医疗单位可按照开票点或业务日期筛选查看开票明细信息，包含患者姓名、业务标识、科室、交费渠道等详细信息；开票点用户只能查看本开票点的开票明细信息。</w:t>
            </w:r>
          </w:p>
        </w:tc>
      </w:tr>
      <w:tr w14:paraId="0F42E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Borders>
              <w:left w:val="single" w:color="auto" w:sz="4" w:space="0"/>
              <w:right w:val="single" w:color="auto" w:sz="4" w:space="0"/>
            </w:tcBorders>
            <w:noWrap w:val="0"/>
            <w:vAlign w:val="center"/>
          </w:tcPr>
          <w:p w14:paraId="42ED98B1">
            <w:pPr>
              <w:spacing w:line="360" w:lineRule="auto"/>
              <w:jc w:val="center"/>
              <w:rPr>
                <w:rFonts w:ascii="宋体"/>
                <w:color w:val="auto"/>
                <w:szCs w:val="21"/>
                <w:highlight w:val="none"/>
              </w:rPr>
            </w:pPr>
          </w:p>
        </w:tc>
        <w:tc>
          <w:tcPr>
            <w:tcW w:w="1843" w:type="dxa"/>
            <w:vMerge w:val="continue"/>
            <w:tcBorders>
              <w:left w:val="single" w:color="auto" w:sz="4" w:space="0"/>
              <w:right w:val="single" w:color="auto" w:sz="4" w:space="0"/>
            </w:tcBorders>
            <w:noWrap w:val="0"/>
            <w:vAlign w:val="center"/>
          </w:tcPr>
          <w:p w14:paraId="060FE8AE">
            <w:pPr>
              <w:spacing w:line="360" w:lineRule="auto"/>
              <w:rPr>
                <w:rFonts w:ascii="宋体"/>
                <w:color w:val="auto"/>
                <w:szCs w:val="21"/>
                <w:highlight w:val="none"/>
              </w:rPr>
            </w:pPr>
          </w:p>
        </w:tc>
        <w:tc>
          <w:tcPr>
            <w:tcW w:w="6191" w:type="dxa"/>
            <w:tcBorders>
              <w:top w:val="single" w:color="auto" w:sz="4" w:space="0"/>
              <w:left w:val="single" w:color="auto" w:sz="4" w:space="0"/>
              <w:bottom w:val="single" w:color="auto" w:sz="4" w:space="0"/>
              <w:right w:val="single" w:color="auto" w:sz="4" w:space="0"/>
            </w:tcBorders>
            <w:noWrap w:val="0"/>
            <w:vAlign w:val="center"/>
          </w:tcPr>
          <w:p w14:paraId="2C005F64">
            <w:pPr>
              <w:spacing w:line="360" w:lineRule="auto"/>
              <w:rPr>
                <w:rFonts w:ascii="宋体"/>
                <w:color w:val="auto"/>
                <w:szCs w:val="21"/>
                <w:highlight w:val="none"/>
              </w:rPr>
            </w:pPr>
            <w:r>
              <w:rPr>
                <w:rFonts w:hint="eastAsia" w:ascii="宋体"/>
                <w:color w:val="auto"/>
                <w:szCs w:val="21"/>
                <w:highlight w:val="none"/>
              </w:rPr>
              <w:t>（3）医疗电子票据汇总表：</w:t>
            </w:r>
          </w:p>
          <w:p w14:paraId="437DD980">
            <w:pPr>
              <w:spacing w:line="360" w:lineRule="auto"/>
              <w:rPr>
                <w:rFonts w:ascii="宋体"/>
                <w:color w:val="auto"/>
                <w:szCs w:val="21"/>
                <w:highlight w:val="none"/>
              </w:rPr>
            </w:pPr>
            <w:r>
              <w:rPr>
                <w:rFonts w:ascii="宋体"/>
                <w:color w:val="auto"/>
                <w:szCs w:val="21"/>
                <w:highlight w:val="none"/>
              </w:rPr>
              <w:fldChar w:fldCharType="begin"/>
            </w:r>
            <w:r>
              <w:rPr>
                <w:rFonts w:ascii="宋体"/>
                <w:color w:val="auto"/>
                <w:szCs w:val="21"/>
                <w:highlight w:val="none"/>
              </w:rPr>
              <w:instrText xml:space="preserve"> </w:instrText>
            </w:r>
            <w:r>
              <w:rPr>
                <w:rFonts w:hint="eastAsia" w:ascii="宋体"/>
                <w:color w:val="auto"/>
                <w:szCs w:val="21"/>
                <w:highlight w:val="none"/>
              </w:rPr>
              <w:instrText xml:space="preserve">eq \o\ac(</w:instrText>
            </w:r>
            <w:r>
              <w:rPr>
                <w:rFonts w:hint="eastAsia" w:ascii="宋体"/>
                <w:color w:val="auto"/>
                <w:position w:val="-4"/>
                <w:szCs w:val="21"/>
                <w:highlight w:val="none"/>
              </w:rPr>
              <w:instrText xml:space="preserve">○</w:instrText>
            </w:r>
            <w:r>
              <w:rPr>
                <w:rFonts w:hint="eastAsia" w:ascii="宋体"/>
                <w:color w:val="auto"/>
                <w:szCs w:val="21"/>
                <w:highlight w:val="none"/>
              </w:rPr>
              <w:instrText xml:space="preserve">,1)</w:instrText>
            </w:r>
            <w:r>
              <w:rPr>
                <w:rFonts w:ascii="宋体"/>
                <w:color w:val="auto"/>
                <w:szCs w:val="21"/>
                <w:highlight w:val="none"/>
              </w:rPr>
              <w:fldChar w:fldCharType="end"/>
            </w:r>
            <w:r>
              <w:rPr>
                <w:rFonts w:hint="eastAsia" w:ascii="宋体"/>
                <w:color w:val="auto"/>
                <w:szCs w:val="21"/>
                <w:highlight w:val="none"/>
              </w:rPr>
              <w:t>该表按照收费员、业务类别统计汇总各票据种类收费情况（按照缴款渠道分别统计）和开票数量（开票份数和冲红份数）；</w:t>
            </w:r>
          </w:p>
          <w:p w14:paraId="55F04750">
            <w:pPr>
              <w:spacing w:line="360" w:lineRule="auto"/>
              <w:rPr>
                <w:rFonts w:ascii="宋体"/>
                <w:color w:val="auto"/>
                <w:szCs w:val="21"/>
                <w:highlight w:val="none"/>
              </w:rPr>
            </w:pPr>
            <w:r>
              <w:rPr>
                <w:rFonts w:ascii="宋体"/>
                <w:color w:val="auto"/>
                <w:szCs w:val="21"/>
                <w:highlight w:val="none"/>
              </w:rPr>
              <w:fldChar w:fldCharType="begin"/>
            </w:r>
            <w:r>
              <w:rPr>
                <w:rFonts w:ascii="宋体"/>
                <w:color w:val="auto"/>
                <w:szCs w:val="21"/>
                <w:highlight w:val="none"/>
              </w:rPr>
              <w:instrText xml:space="preserve"> </w:instrText>
            </w:r>
            <w:r>
              <w:rPr>
                <w:rFonts w:hint="eastAsia" w:ascii="宋体"/>
                <w:color w:val="auto"/>
                <w:szCs w:val="21"/>
                <w:highlight w:val="none"/>
              </w:rPr>
              <w:instrText xml:space="preserve">eq \o\ac(</w:instrText>
            </w:r>
            <w:r>
              <w:rPr>
                <w:rFonts w:hint="eastAsia" w:ascii="宋体"/>
                <w:color w:val="auto"/>
                <w:position w:val="-4"/>
                <w:szCs w:val="21"/>
                <w:highlight w:val="none"/>
              </w:rPr>
              <w:instrText xml:space="preserve">○</w:instrText>
            </w:r>
            <w:r>
              <w:rPr>
                <w:rFonts w:hint="eastAsia" w:ascii="宋体"/>
                <w:color w:val="auto"/>
                <w:szCs w:val="21"/>
                <w:highlight w:val="none"/>
              </w:rPr>
              <w:instrText xml:space="preserve">,2)</w:instrText>
            </w:r>
            <w:r>
              <w:rPr>
                <w:rFonts w:ascii="宋体"/>
                <w:color w:val="auto"/>
                <w:szCs w:val="21"/>
                <w:highlight w:val="none"/>
              </w:rPr>
              <w:fldChar w:fldCharType="end"/>
            </w:r>
            <w:r>
              <w:rPr>
                <w:rFonts w:hint="eastAsia" w:ascii="宋体"/>
                <w:color w:val="auto"/>
                <w:szCs w:val="21"/>
                <w:highlight w:val="none"/>
              </w:rPr>
              <w:t>医院可按照业务类别或业务日期筛选查看本单位或本单位下各开票点的开票汇总信息；开票点用户只能查看本开票点的开票汇总信息。</w:t>
            </w:r>
          </w:p>
        </w:tc>
      </w:tr>
      <w:tr w14:paraId="76DFA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Borders>
              <w:left w:val="single" w:color="auto" w:sz="4" w:space="0"/>
              <w:right w:val="single" w:color="auto" w:sz="4" w:space="0"/>
            </w:tcBorders>
            <w:noWrap w:val="0"/>
            <w:vAlign w:val="center"/>
          </w:tcPr>
          <w:p w14:paraId="5623BCCB">
            <w:pPr>
              <w:spacing w:line="360" w:lineRule="auto"/>
              <w:jc w:val="center"/>
              <w:rPr>
                <w:rFonts w:ascii="宋体"/>
                <w:color w:val="auto"/>
                <w:szCs w:val="21"/>
                <w:highlight w:val="none"/>
              </w:rPr>
            </w:pPr>
          </w:p>
        </w:tc>
        <w:tc>
          <w:tcPr>
            <w:tcW w:w="1843" w:type="dxa"/>
            <w:vMerge w:val="continue"/>
            <w:tcBorders>
              <w:left w:val="single" w:color="auto" w:sz="4" w:space="0"/>
              <w:right w:val="single" w:color="auto" w:sz="4" w:space="0"/>
            </w:tcBorders>
            <w:noWrap w:val="0"/>
            <w:vAlign w:val="center"/>
          </w:tcPr>
          <w:p w14:paraId="1D55C12E">
            <w:pPr>
              <w:spacing w:line="360" w:lineRule="auto"/>
              <w:rPr>
                <w:rFonts w:ascii="宋体"/>
                <w:color w:val="auto"/>
                <w:szCs w:val="21"/>
                <w:highlight w:val="none"/>
              </w:rPr>
            </w:pPr>
          </w:p>
        </w:tc>
        <w:tc>
          <w:tcPr>
            <w:tcW w:w="6191" w:type="dxa"/>
            <w:tcBorders>
              <w:top w:val="single" w:color="auto" w:sz="4" w:space="0"/>
              <w:left w:val="single" w:color="auto" w:sz="4" w:space="0"/>
              <w:bottom w:val="single" w:color="auto" w:sz="4" w:space="0"/>
              <w:right w:val="single" w:color="auto" w:sz="4" w:space="0"/>
            </w:tcBorders>
            <w:noWrap w:val="0"/>
            <w:vAlign w:val="center"/>
          </w:tcPr>
          <w:p w14:paraId="12AF9D57">
            <w:pPr>
              <w:spacing w:line="360" w:lineRule="auto"/>
              <w:rPr>
                <w:rFonts w:ascii="宋体"/>
                <w:color w:val="auto"/>
                <w:szCs w:val="21"/>
                <w:highlight w:val="none"/>
              </w:rPr>
            </w:pPr>
            <w:r>
              <w:rPr>
                <w:rFonts w:hint="eastAsia" w:ascii="宋体"/>
                <w:color w:val="auto"/>
                <w:szCs w:val="21"/>
                <w:highlight w:val="none"/>
              </w:rPr>
              <w:t>（4）交费渠道汇总表：该表按照患者交费渠道统计各开票点具体时间段内各渠道的交费金额。</w:t>
            </w:r>
          </w:p>
        </w:tc>
      </w:tr>
      <w:tr w14:paraId="4D035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Borders>
              <w:left w:val="single" w:color="auto" w:sz="4" w:space="0"/>
              <w:right w:val="single" w:color="auto" w:sz="4" w:space="0"/>
            </w:tcBorders>
            <w:noWrap w:val="0"/>
            <w:vAlign w:val="center"/>
          </w:tcPr>
          <w:p w14:paraId="3B726A93">
            <w:pPr>
              <w:spacing w:line="360" w:lineRule="auto"/>
              <w:jc w:val="center"/>
              <w:rPr>
                <w:rFonts w:ascii="宋体"/>
                <w:color w:val="auto"/>
                <w:szCs w:val="21"/>
                <w:highlight w:val="none"/>
              </w:rPr>
            </w:pPr>
          </w:p>
        </w:tc>
        <w:tc>
          <w:tcPr>
            <w:tcW w:w="1843" w:type="dxa"/>
            <w:vMerge w:val="continue"/>
            <w:tcBorders>
              <w:left w:val="single" w:color="auto" w:sz="4" w:space="0"/>
              <w:right w:val="single" w:color="auto" w:sz="4" w:space="0"/>
            </w:tcBorders>
            <w:noWrap w:val="0"/>
            <w:vAlign w:val="center"/>
          </w:tcPr>
          <w:p w14:paraId="4218842C">
            <w:pPr>
              <w:spacing w:line="360" w:lineRule="auto"/>
              <w:rPr>
                <w:rFonts w:ascii="宋体"/>
                <w:color w:val="auto"/>
                <w:szCs w:val="21"/>
                <w:highlight w:val="none"/>
              </w:rPr>
            </w:pPr>
          </w:p>
        </w:tc>
        <w:tc>
          <w:tcPr>
            <w:tcW w:w="6191" w:type="dxa"/>
            <w:tcBorders>
              <w:top w:val="single" w:color="auto" w:sz="4" w:space="0"/>
              <w:left w:val="single" w:color="auto" w:sz="4" w:space="0"/>
              <w:bottom w:val="single" w:color="auto" w:sz="4" w:space="0"/>
              <w:right w:val="single" w:color="auto" w:sz="4" w:space="0"/>
            </w:tcBorders>
            <w:noWrap w:val="0"/>
            <w:vAlign w:val="center"/>
          </w:tcPr>
          <w:p w14:paraId="752B5A98">
            <w:pPr>
              <w:spacing w:line="360" w:lineRule="auto"/>
              <w:rPr>
                <w:rFonts w:ascii="宋体"/>
                <w:color w:val="auto"/>
                <w:szCs w:val="21"/>
                <w:highlight w:val="none"/>
              </w:rPr>
            </w:pPr>
            <w:r>
              <w:rPr>
                <w:rFonts w:hint="eastAsia" w:ascii="宋体"/>
                <w:color w:val="auto"/>
                <w:szCs w:val="21"/>
                <w:highlight w:val="none"/>
              </w:rPr>
              <w:t>（5）部门开票点汇总表：该表可按照部门开票点进行汇总查看该开票点具体开票情况，具体开票信息包含业务日期、开票日期、开票点名称、收费员、患者姓名、业务标识、科室、交费渠道、开票总金额、票据名称、票据代码、票据号码、关联红票号码、关联纸质票号码、状态。</w:t>
            </w:r>
          </w:p>
        </w:tc>
      </w:tr>
      <w:tr w14:paraId="0FD48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Merge w:val="continue"/>
            <w:tcBorders>
              <w:left w:val="single" w:color="auto" w:sz="4" w:space="0"/>
              <w:right w:val="single" w:color="auto" w:sz="4" w:space="0"/>
            </w:tcBorders>
            <w:noWrap w:val="0"/>
            <w:vAlign w:val="center"/>
          </w:tcPr>
          <w:p w14:paraId="520A8629">
            <w:pPr>
              <w:spacing w:line="360" w:lineRule="auto"/>
              <w:jc w:val="center"/>
              <w:rPr>
                <w:rFonts w:ascii="宋体"/>
                <w:color w:val="auto"/>
                <w:szCs w:val="21"/>
                <w:highlight w:val="none"/>
              </w:rPr>
            </w:pPr>
          </w:p>
        </w:tc>
        <w:tc>
          <w:tcPr>
            <w:tcW w:w="1843" w:type="dxa"/>
            <w:vMerge w:val="continue"/>
            <w:tcBorders>
              <w:left w:val="single" w:color="auto" w:sz="4" w:space="0"/>
              <w:right w:val="single" w:color="auto" w:sz="4" w:space="0"/>
            </w:tcBorders>
            <w:noWrap w:val="0"/>
            <w:vAlign w:val="center"/>
          </w:tcPr>
          <w:p w14:paraId="7CE70BF6">
            <w:pPr>
              <w:spacing w:line="360" w:lineRule="auto"/>
              <w:rPr>
                <w:rFonts w:ascii="宋体"/>
                <w:color w:val="auto"/>
                <w:szCs w:val="21"/>
                <w:highlight w:val="none"/>
              </w:rPr>
            </w:pPr>
          </w:p>
        </w:tc>
        <w:tc>
          <w:tcPr>
            <w:tcW w:w="6191" w:type="dxa"/>
            <w:tcBorders>
              <w:top w:val="single" w:color="auto" w:sz="4" w:space="0"/>
              <w:left w:val="single" w:color="auto" w:sz="4" w:space="0"/>
              <w:bottom w:val="single" w:color="auto" w:sz="4" w:space="0"/>
              <w:right w:val="single" w:color="auto" w:sz="4" w:space="0"/>
            </w:tcBorders>
            <w:noWrap w:val="0"/>
            <w:vAlign w:val="center"/>
          </w:tcPr>
          <w:p w14:paraId="6CB51F18">
            <w:pPr>
              <w:spacing w:line="360" w:lineRule="auto"/>
              <w:rPr>
                <w:rFonts w:ascii="宋体"/>
                <w:color w:val="auto"/>
                <w:szCs w:val="21"/>
                <w:highlight w:val="none"/>
              </w:rPr>
            </w:pPr>
            <w:r>
              <w:rPr>
                <w:rFonts w:hint="eastAsia" w:ascii="宋体"/>
                <w:color w:val="auto"/>
                <w:szCs w:val="21"/>
                <w:highlight w:val="none"/>
              </w:rPr>
              <w:t>（6）部门收费员汇总表：该表可按照部门收费员进行汇总查看该收费员具体开票情况，具体开票信息包含业务日期、开票日期、开票点名称、收费员、患者姓名、业务标识、科室、交费渠道、开票总金额、票据名称、票据代码、票据号码、关联红票号码、关联纸质票号码、状态。</w:t>
            </w:r>
          </w:p>
        </w:tc>
      </w:tr>
      <w:tr w14:paraId="6D44D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left w:val="single" w:color="auto" w:sz="4" w:space="0"/>
              <w:bottom w:val="single" w:color="auto" w:sz="4" w:space="0"/>
              <w:right w:val="single" w:color="auto" w:sz="4" w:space="0"/>
            </w:tcBorders>
            <w:noWrap w:val="0"/>
            <w:vAlign w:val="center"/>
          </w:tcPr>
          <w:p w14:paraId="59D43C9E">
            <w:pPr>
              <w:spacing w:line="360" w:lineRule="auto"/>
              <w:jc w:val="center"/>
              <w:rPr>
                <w:rFonts w:hint="default" w:ascii="宋体" w:eastAsiaTheme="minorEastAsia"/>
                <w:color w:val="auto"/>
                <w:szCs w:val="21"/>
                <w:highlight w:val="none"/>
                <w:lang w:val="en-US" w:eastAsia="zh-CN"/>
              </w:rPr>
            </w:pPr>
            <w:r>
              <w:rPr>
                <w:rFonts w:hint="eastAsia" w:ascii="宋体"/>
                <w:color w:val="auto"/>
                <w:szCs w:val="21"/>
                <w:highlight w:val="none"/>
                <w:lang w:val="en-US" w:eastAsia="zh-CN"/>
              </w:rPr>
              <w:t>15</w:t>
            </w:r>
          </w:p>
        </w:tc>
        <w:tc>
          <w:tcPr>
            <w:tcW w:w="1843" w:type="dxa"/>
            <w:tcBorders>
              <w:left w:val="single" w:color="auto" w:sz="4" w:space="0"/>
              <w:bottom w:val="single" w:color="auto" w:sz="4" w:space="0"/>
              <w:right w:val="single" w:color="auto" w:sz="4" w:space="0"/>
            </w:tcBorders>
            <w:noWrap w:val="0"/>
            <w:vAlign w:val="center"/>
          </w:tcPr>
          <w:p w14:paraId="3200640D">
            <w:pPr>
              <w:spacing w:line="440" w:lineRule="exact"/>
              <w:jc w:val="center"/>
              <w:rPr>
                <w:rFonts w:ascii="宋体" w:hAnsi="宋体" w:cs="宋体"/>
                <w:color w:val="auto"/>
                <w:sz w:val="24"/>
                <w:highlight w:val="none"/>
              </w:rPr>
            </w:pPr>
            <w:r>
              <w:rPr>
                <w:rFonts w:hint="eastAsia" w:ascii="宋体" w:hAnsi="宋体" w:cs="宋体"/>
                <w:color w:val="auto"/>
                <w:sz w:val="24"/>
                <w:highlight w:val="none"/>
                <w:lang w:bidi="ar"/>
              </w:rPr>
              <w:t>配备数字签名</w:t>
            </w:r>
          </w:p>
          <w:p w14:paraId="0FED9EE5">
            <w:pPr>
              <w:spacing w:line="360" w:lineRule="auto"/>
              <w:rPr>
                <w:rFonts w:ascii="宋体"/>
                <w:color w:val="auto"/>
                <w:szCs w:val="21"/>
                <w:highlight w:val="none"/>
              </w:rPr>
            </w:pPr>
            <w:r>
              <w:rPr>
                <w:rFonts w:hint="eastAsia" w:ascii="宋体" w:hAnsi="宋体" w:cs="宋体"/>
                <w:color w:val="auto"/>
                <w:sz w:val="24"/>
                <w:highlight w:val="none"/>
                <w:lang w:bidi="ar"/>
              </w:rPr>
              <w:t>租赁设备</w:t>
            </w:r>
          </w:p>
        </w:tc>
        <w:tc>
          <w:tcPr>
            <w:tcW w:w="6191" w:type="dxa"/>
            <w:tcBorders>
              <w:top w:val="single" w:color="auto" w:sz="4" w:space="0"/>
              <w:left w:val="single" w:color="auto" w:sz="4" w:space="0"/>
              <w:bottom w:val="single" w:color="auto" w:sz="4" w:space="0"/>
              <w:right w:val="single" w:color="auto" w:sz="4" w:space="0"/>
            </w:tcBorders>
            <w:noWrap w:val="0"/>
            <w:vAlign w:val="center"/>
          </w:tcPr>
          <w:p w14:paraId="247EDAFD">
            <w:pPr>
              <w:spacing w:line="360" w:lineRule="auto"/>
              <w:rPr>
                <w:rFonts w:ascii="宋体"/>
                <w:color w:val="auto"/>
                <w:szCs w:val="21"/>
                <w:highlight w:val="none"/>
              </w:rPr>
            </w:pPr>
            <w:r>
              <w:rPr>
                <w:rFonts w:hint="eastAsia" w:ascii="宋体"/>
                <w:color w:val="auto"/>
                <w:szCs w:val="21"/>
                <w:highlight w:val="none"/>
              </w:rPr>
              <w:t>产品须符合财政信息系统安全应用接口标准；支持 PKCS#7 和 XML 格式的签名和验证；支持浏览器、应用服务器、通用客户端的调用；支持对文件和数据进行签名、加密；提供获取签名、加密数据包中原始内容的功能；持大文件、大数据签名、加密；完成财政电子票据系统的安全建设，保障数据的私密性、完整性和不可否认性；能够与证书综合管理系统进行无缝对接，完成签名机构证书的在线申请、下载功能；产品支持针对大数据量的数字签名方法。</w:t>
            </w:r>
          </w:p>
        </w:tc>
      </w:tr>
    </w:tbl>
    <w:p w14:paraId="6C92CE89">
      <w:pPr>
        <w:spacing w:line="240" w:lineRule="atLeast"/>
        <w:ind w:firstLine="560" w:firstLineChars="200"/>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（二）、电子票据档案云存储服务</w:t>
      </w:r>
    </w:p>
    <w:tbl>
      <w:tblPr>
        <w:tblStyle w:val="4"/>
        <w:tblW w:w="482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610"/>
        <w:gridCol w:w="6431"/>
      </w:tblGrid>
      <w:tr w14:paraId="2F621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trPr>
        <w:tc>
          <w:tcPr>
            <w:tcW w:w="398" w:type="pct"/>
            <w:tcBorders>
              <w:left w:val="single" w:color="auto" w:sz="4" w:space="0"/>
              <w:bottom w:val="single" w:color="auto" w:sz="4" w:space="0"/>
              <w:right w:val="single" w:color="auto" w:sz="4" w:space="0"/>
            </w:tcBorders>
            <w:noWrap w:val="0"/>
            <w:vAlign w:val="center"/>
          </w:tcPr>
          <w:p w14:paraId="208D730D">
            <w:pPr>
              <w:spacing w:line="360" w:lineRule="auto"/>
              <w:jc w:val="center"/>
              <w:rPr>
                <w:rFonts w:ascii="宋体"/>
                <w:szCs w:val="21"/>
                <w:highlight w:val="none"/>
              </w:rPr>
            </w:pPr>
            <w:r>
              <w:rPr>
                <w:rFonts w:hint="eastAsia" w:ascii="宋体"/>
                <w:szCs w:val="21"/>
                <w:highlight w:val="none"/>
              </w:rPr>
              <w:t>1</w:t>
            </w:r>
          </w:p>
        </w:tc>
        <w:tc>
          <w:tcPr>
            <w:tcW w:w="921" w:type="pct"/>
            <w:tcBorders>
              <w:left w:val="single" w:color="auto" w:sz="4" w:space="0"/>
              <w:bottom w:val="single" w:color="auto" w:sz="4" w:space="0"/>
              <w:right w:val="single" w:color="auto" w:sz="4" w:space="0"/>
            </w:tcBorders>
            <w:noWrap w:val="0"/>
            <w:vAlign w:val="center"/>
          </w:tcPr>
          <w:p w14:paraId="6049078F">
            <w:pPr>
              <w:spacing w:line="360" w:lineRule="auto"/>
              <w:rPr>
                <w:rFonts w:ascii="宋体"/>
                <w:szCs w:val="21"/>
                <w:highlight w:val="none"/>
              </w:rPr>
            </w:pPr>
            <w:r>
              <w:rPr>
                <w:rFonts w:hint="eastAsia" w:ascii="宋体"/>
                <w:szCs w:val="21"/>
                <w:highlight w:val="none"/>
              </w:rPr>
              <w:t>电子票据档案云存储服务</w:t>
            </w:r>
          </w:p>
        </w:tc>
        <w:tc>
          <w:tcPr>
            <w:tcW w:w="3679" w:type="pct"/>
            <w:tcBorders>
              <w:top w:val="single" w:color="auto" w:sz="4" w:space="0"/>
              <w:left w:val="single" w:color="auto" w:sz="4" w:space="0"/>
              <w:bottom w:val="single" w:color="auto" w:sz="4" w:space="0"/>
              <w:right w:val="single" w:color="auto" w:sz="4" w:space="0"/>
            </w:tcBorders>
            <w:noWrap w:val="0"/>
            <w:vAlign w:val="center"/>
          </w:tcPr>
          <w:p w14:paraId="1BB6215F">
            <w:pPr>
              <w:spacing w:line="360" w:lineRule="auto"/>
              <w:rPr>
                <w:rFonts w:ascii="宋体"/>
                <w:szCs w:val="21"/>
                <w:highlight w:val="none"/>
              </w:rPr>
            </w:pPr>
            <w:r>
              <w:rPr>
                <w:rFonts w:hint="eastAsia" w:ascii="宋体"/>
                <w:szCs w:val="21"/>
                <w:highlight w:val="none"/>
              </w:rPr>
              <w:t>根据财政电子票据存档保管要求，建立电子档案云存储管理服务，实现医疗收费电子票据存储、查阅服务。系统需支持PNG、PDF、JPG等多种格式电子文件的存储、查阅及归档服务。</w:t>
            </w:r>
          </w:p>
        </w:tc>
      </w:tr>
    </w:tbl>
    <w:p w14:paraId="32575C6F">
      <w:pPr>
        <w:spacing w:line="240" w:lineRule="atLeast"/>
        <w:ind w:firstLine="560" w:firstLineChars="200"/>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（三）、HIS系统接口开发服务</w:t>
      </w:r>
    </w:p>
    <w:tbl>
      <w:tblPr>
        <w:tblStyle w:val="4"/>
        <w:tblW w:w="8637" w:type="dxa"/>
        <w:tblInd w:w="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331"/>
        <w:gridCol w:w="6601"/>
      </w:tblGrid>
      <w:tr w14:paraId="4F629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atLeast"/>
        </w:trPr>
        <w:tc>
          <w:tcPr>
            <w:tcW w:w="705" w:type="dxa"/>
            <w:tcBorders>
              <w:left w:val="single" w:color="auto" w:sz="4" w:space="0"/>
              <w:bottom w:val="single" w:color="auto" w:sz="4" w:space="0"/>
              <w:right w:val="single" w:color="auto" w:sz="4" w:space="0"/>
            </w:tcBorders>
            <w:noWrap w:val="0"/>
            <w:vAlign w:val="center"/>
          </w:tcPr>
          <w:p w14:paraId="3AAF2ACA">
            <w:pPr>
              <w:spacing w:line="360" w:lineRule="auto"/>
              <w:rPr>
                <w:rFonts w:ascii="宋体"/>
                <w:color w:val="auto"/>
                <w:szCs w:val="21"/>
                <w:highlight w:val="none"/>
              </w:rPr>
            </w:pPr>
            <w:r>
              <w:rPr>
                <w:rFonts w:hint="eastAsia" w:ascii="宋体"/>
                <w:color w:val="auto"/>
                <w:szCs w:val="21"/>
                <w:highlight w:val="none"/>
              </w:rPr>
              <w:t xml:space="preserve">  1</w:t>
            </w:r>
          </w:p>
        </w:tc>
        <w:tc>
          <w:tcPr>
            <w:tcW w:w="1331" w:type="dxa"/>
            <w:tcBorders>
              <w:left w:val="single" w:color="auto" w:sz="4" w:space="0"/>
              <w:bottom w:val="single" w:color="auto" w:sz="4" w:space="0"/>
              <w:right w:val="single" w:color="auto" w:sz="4" w:space="0"/>
            </w:tcBorders>
            <w:noWrap w:val="0"/>
            <w:vAlign w:val="center"/>
          </w:tcPr>
          <w:p w14:paraId="197524FA">
            <w:pPr>
              <w:spacing w:line="360" w:lineRule="auto"/>
              <w:rPr>
                <w:rFonts w:ascii="宋体"/>
                <w:color w:val="auto"/>
                <w:szCs w:val="21"/>
                <w:highlight w:val="none"/>
              </w:rPr>
            </w:pPr>
            <w:r>
              <w:rPr>
                <w:rFonts w:hint="eastAsia" w:ascii="宋体"/>
                <w:color w:val="auto"/>
                <w:szCs w:val="21"/>
                <w:highlight w:val="none"/>
              </w:rPr>
              <w:t>单位业务系统对接</w:t>
            </w:r>
          </w:p>
        </w:tc>
        <w:tc>
          <w:tcPr>
            <w:tcW w:w="6601" w:type="dxa"/>
            <w:tcBorders>
              <w:top w:val="single" w:color="auto" w:sz="4" w:space="0"/>
              <w:left w:val="single" w:color="auto" w:sz="4" w:space="0"/>
              <w:bottom w:val="single" w:color="auto" w:sz="4" w:space="0"/>
              <w:right w:val="single" w:color="auto" w:sz="4" w:space="0"/>
            </w:tcBorders>
            <w:noWrap w:val="0"/>
            <w:vAlign w:val="center"/>
          </w:tcPr>
          <w:p w14:paraId="56B89902">
            <w:pPr>
              <w:spacing w:line="360" w:lineRule="auto"/>
              <w:rPr>
                <w:rFonts w:ascii="宋体"/>
                <w:color w:val="auto"/>
                <w:szCs w:val="21"/>
                <w:highlight w:val="none"/>
              </w:rPr>
            </w:pPr>
            <w:r>
              <w:rPr>
                <w:rFonts w:hint="eastAsia" w:ascii="宋体"/>
                <w:color w:val="auto"/>
                <w:szCs w:val="21"/>
                <w:highlight w:val="none"/>
              </w:rPr>
              <w:t>（1）与四川省财政电子票据管理系统完成对接，实现财政电子票据的申领、入库、出库、开具、保管、核销。</w:t>
            </w:r>
          </w:p>
          <w:p w14:paraId="7A9A2F57">
            <w:pPr>
              <w:spacing w:line="360" w:lineRule="auto"/>
              <w:rPr>
                <w:rFonts w:ascii="宋体"/>
                <w:color w:val="auto"/>
                <w:szCs w:val="21"/>
                <w:highlight w:val="none"/>
              </w:rPr>
            </w:pPr>
            <w:r>
              <w:rPr>
                <w:rFonts w:hint="eastAsia" w:ascii="宋体"/>
                <w:color w:val="auto"/>
                <w:szCs w:val="21"/>
                <w:highlight w:val="none"/>
              </w:rPr>
              <w:t>（2）</w:t>
            </w:r>
            <w:r>
              <w:rPr>
                <w:rFonts w:hint="eastAsia" w:ascii="宋体"/>
                <w:color w:val="auto"/>
                <w:szCs w:val="21"/>
                <w:highlight w:val="none"/>
                <w:lang w:eastAsia="zh-CN"/>
              </w:rPr>
              <w:t>与</w:t>
            </w:r>
            <w:r>
              <w:rPr>
                <w:rFonts w:ascii="宋体"/>
                <w:color w:val="auto"/>
                <w:szCs w:val="21"/>
                <w:highlight w:val="none"/>
              </w:rPr>
              <w:t>龙泉驿区中医医院</w:t>
            </w:r>
            <w:r>
              <w:rPr>
                <w:rFonts w:hint="eastAsia" w:ascii="宋体"/>
                <w:color w:val="auto"/>
                <w:szCs w:val="21"/>
                <w:highlight w:val="none"/>
              </w:rPr>
              <w:t>现有HIS系统开发，联调，测试，达到上线要求。</w:t>
            </w:r>
          </w:p>
          <w:p w14:paraId="12360414">
            <w:pPr>
              <w:spacing w:line="360" w:lineRule="auto"/>
              <w:rPr>
                <w:rFonts w:ascii="宋体"/>
                <w:color w:val="auto"/>
                <w:szCs w:val="21"/>
                <w:highlight w:val="none"/>
              </w:rPr>
            </w:pPr>
            <w:r>
              <w:rPr>
                <w:rFonts w:hint="eastAsia" w:ascii="宋体"/>
                <w:color w:val="auto"/>
                <w:szCs w:val="21"/>
                <w:highlight w:val="none"/>
              </w:rPr>
              <w:t>（3）开发数据交换接口，包括开具、冲红接口，达到电子票据开具、管理等要求。</w:t>
            </w:r>
          </w:p>
        </w:tc>
      </w:tr>
    </w:tbl>
    <w:p w14:paraId="1FB8121E">
      <w:pPr>
        <w:spacing w:line="360" w:lineRule="auto"/>
        <w:ind w:firstLine="562" w:firstLineChars="200"/>
        <w:rPr>
          <w:rFonts w:hint="eastAsia" w:ascii="方正仿宋_GBK" w:hAnsi="方正仿宋_GBK" w:eastAsia="方正仿宋_GBK" w:cs="方正仿宋_GBK"/>
          <w:b/>
          <w:sz w:val="28"/>
          <w:szCs w:val="28"/>
          <w:lang w:val="en-US" w:eastAsia="zh-CN"/>
        </w:rPr>
      </w:pPr>
      <w:r>
        <w:rPr>
          <w:rFonts w:hint="eastAsia" w:ascii="方正仿宋_GBK" w:hAnsi="方正仿宋_GBK" w:eastAsia="方正仿宋_GBK" w:cs="方正仿宋_GBK"/>
          <w:b/>
          <w:sz w:val="28"/>
          <w:szCs w:val="28"/>
          <w:lang w:val="en-US" w:eastAsia="zh-CN"/>
        </w:rPr>
        <w:t>二、商务要求（实质性要求）</w:t>
      </w:r>
    </w:p>
    <w:p w14:paraId="3F9F9F35">
      <w:pPr>
        <w:spacing w:line="240" w:lineRule="atLeast"/>
        <w:ind w:firstLine="560" w:firstLineChars="200"/>
        <w:rPr>
          <w:rFonts w:hint="eastAsia"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eastAsia="zh-CN"/>
        </w:rPr>
        <w:t>（一）服务地点：成都市龙泉驿区中医医院</w:t>
      </w:r>
    </w:p>
    <w:p w14:paraId="37639D0A">
      <w:pPr>
        <w:spacing w:line="240" w:lineRule="atLeast"/>
        <w:ind w:firstLine="560" w:firstLineChars="200"/>
        <w:rPr>
          <w:rFonts w:hint="eastAsia"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eastAsia="zh-CN"/>
        </w:rPr>
        <w:t>（二）实施期限：中选结果公示后，依据相关部门要求需及时完成相关系统接入工作，10日内须向采购人出具与四川省财政电子票据管理系统完成接口接入工作的证明材料；采购合同签订后30天内交付使用。</w:t>
      </w:r>
    </w:p>
    <w:p w14:paraId="0296AE40">
      <w:pPr>
        <w:spacing w:line="240" w:lineRule="atLeast"/>
        <w:ind w:firstLine="560" w:firstLineChars="200"/>
        <w:rPr>
          <w:rFonts w:hint="eastAsia"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eastAsia="zh-CN"/>
        </w:rPr>
        <w:t>（三）付款条件：</w:t>
      </w:r>
    </w:p>
    <w:p w14:paraId="750654E1">
      <w:pPr>
        <w:spacing w:line="240" w:lineRule="atLeast"/>
        <w:ind w:firstLine="560" w:firstLineChars="200"/>
        <w:rPr>
          <w:rFonts w:hint="eastAsia"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eastAsia="zh-CN"/>
        </w:rPr>
        <w:t>1.付款方式：合同服务期满并履约验收后，采购人向中标人支付合同金额的100%。</w:t>
      </w:r>
    </w:p>
    <w:p w14:paraId="72A4C90D">
      <w:pPr>
        <w:spacing w:line="240" w:lineRule="atLeast"/>
        <w:ind w:firstLine="560" w:firstLineChars="200"/>
        <w:rPr>
          <w:rFonts w:hint="eastAsia"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eastAsia="zh-CN"/>
        </w:rPr>
        <w:t>2.付款条件：每次款项的支付前提均为采购人在收到中标人出具的正规发票20日内予以办理合同款项的支付事宜，且均为无息支付。</w:t>
      </w:r>
    </w:p>
    <w:p w14:paraId="0277728A">
      <w:pPr>
        <w:spacing w:line="240" w:lineRule="atLeast"/>
        <w:ind w:firstLine="560" w:firstLineChars="200"/>
        <w:rPr>
          <w:rFonts w:hint="eastAsia"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eastAsia="zh-CN"/>
        </w:rPr>
        <w:t>（四）履约验收要求：</w:t>
      </w:r>
    </w:p>
    <w:p w14:paraId="4024B92F">
      <w:pPr>
        <w:spacing w:line="240" w:lineRule="atLeast"/>
        <w:ind w:firstLine="560" w:firstLineChars="200"/>
        <w:rPr>
          <w:rFonts w:hint="eastAsia"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eastAsia="zh-CN"/>
        </w:rPr>
        <w:t>中标人与采购人应严格按照四川省财政厅关于印发《四川省政府采购项目需求论证和履约验收管理办法》的通知（川财采[2015]32号）要求进行验收，采购方有权邀请第三方机构或质检部门共同验收。</w:t>
      </w:r>
    </w:p>
    <w:p w14:paraId="4F9214B5">
      <w:pPr>
        <w:spacing w:line="240" w:lineRule="atLeast"/>
        <w:ind w:firstLine="560" w:firstLineChars="200"/>
        <w:rPr>
          <w:rFonts w:hint="eastAsia"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eastAsia="zh-CN"/>
        </w:rPr>
        <w:t>1. 验收方法：验收时双方皆应派员参加，验收合格并安装完毕后需双方签署验收单。</w:t>
      </w:r>
    </w:p>
    <w:p w14:paraId="7BCA614C">
      <w:pPr>
        <w:spacing w:line="240" w:lineRule="atLeast"/>
        <w:ind w:firstLine="560" w:firstLineChars="200"/>
        <w:rPr>
          <w:rFonts w:hint="eastAsia"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eastAsia="zh-CN"/>
        </w:rPr>
        <w:t>2. 验收标准：严格按照政府采购相关法律法规及部门规章执行，以招标文件技术参数要求及投标文件技术响应为准。如出现未在招标文件中明确规定的，以行业相关标准为准。符合国家相关规定的合格软件；保证所供的货物皆为原厂原装、全新、未使用过，并按照相关技术要求进行调试，并完全满足需方采购提出的工作需要。</w:t>
      </w:r>
    </w:p>
    <w:p w14:paraId="22DB8337">
      <w:pPr>
        <w:spacing w:line="240" w:lineRule="atLeast"/>
        <w:ind w:firstLine="560" w:firstLineChars="200"/>
        <w:rPr>
          <w:rFonts w:hint="eastAsia"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eastAsia="zh-CN"/>
        </w:rPr>
        <w:t>3. 验收时间要求：中标人按照合同要求完成全部工作后，采购人在收到书面的验收申请材料后30日内组织履约验收工作。</w:t>
      </w:r>
    </w:p>
    <w:p w14:paraId="31F2D6CA">
      <w:pPr>
        <w:spacing w:line="240" w:lineRule="atLeast"/>
        <w:ind w:firstLine="560" w:firstLineChars="200"/>
        <w:rPr>
          <w:rFonts w:hint="eastAsia"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eastAsia="zh-CN"/>
        </w:rPr>
        <w:t>4. 其他验收要求：验收不合格时，采购人和中标人应协商一致，中标人应根据相关验收证明材料及时补足或整改，费用由中标人自行承担。</w:t>
      </w:r>
    </w:p>
    <w:p w14:paraId="7351AE70">
      <w:pPr>
        <w:spacing w:line="240" w:lineRule="atLeast"/>
        <w:ind w:firstLine="560" w:firstLineChars="200"/>
        <w:rPr>
          <w:rFonts w:hint="eastAsia"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eastAsia="zh-CN"/>
        </w:rPr>
        <w:t>（五）其他要求：</w:t>
      </w:r>
    </w:p>
    <w:p w14:paraId="16CB8D3C">
      <w:pPr>
        <w:spacing w:line="240" w:lineRule="atLeast"/>
        <w:ind w:firstLine="560" w:firstLineChars="200"/>
        <w:rPr>
          <w:rFonts w:hint="eastAsia" w:ascii="Times New Roman" w:hAnsi="Times New Roman" w:eastAsia="方正仿宋_GBK" w:cs="Times New Roman"/>
          <w:sz w:val="28"/>
          <w:szCs w:val="28"/>
          <w:lang w:eastAsia="zh-CN"/>
        </w:rPr>
      </w:pPr>
      <w:r>
        <w:rPr>
          <w:rFonts w:hint="eastAsia" w:ascii="Times New Roman" w:hAnsi="Times New Roman" w:eastAsia="方正仿宋_GBK" w:cs="Times New Roman"/>
          <w:sz w:val="28"/>
          <w:szCs w:val="28"/>
          <w:lang w:eastAsia="zh-CN"/>
        </w:rPr>
        <w:t>投标人承诺中标后能自行与四川省财政电子票据管理系统完成对接，采购人不再支付相应的接口费用。投标人中标后若不能按时完成本项目的，视为违约，投标人将承担相应的法律责任并向采购人支付中标金额50%的违约金。</w:t>
      </w:r>
    </w:p>
    <w:p w14:paraId="0A4A3FCA">
      <w:pPr>
        <w:spacing w:line="240" w:lineRule="atLeast"/>
        <w:ind w:firstLine="560" w:firstLineChars="200"/>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lang w:eastAsia="zh-CN"/>
        </w:rPr>
        <w:t>（六）</w:t>
      </w:r>
      <w:r>
        <w:rPr>
          <w:rFonts w:hint="default" w:ascii="Times New Roman" w:hAnsi="Times New Roman" w:eastAsia="方正仿宋_GBK" w:cs="Times New Roman"/>
          <w:sz w:val="28"/>
          <w:szCs w:val="28"/>
        </w:rPr>
        <w:t>报价要求：本项目报价按照</w:t>
      </w:r>
      <w:r>
        <w:rPr>
          <w:rFonts w:hint="default" w:ascii="Times New Roman" w:hAnsi="Times New Roman" w:eastAsia="方正仿宋_GBK" w:cs="Times New Roman"/>
          <w:sz w:val="28"/>
          <w:szCs w:val="28"/>
          <w:lang w:eastAsia="zh-CN"/>
        </w:rPr>
        <w:t>总价包干价报价</w:t>
      </w:r>
      <w:r>
        <w:rPr>
          <w:rFonts w:hint="eastAsia" w:ascii="Times New Roman" w:hAnsi="Times New Roman" w:eastAsia="方正仿宋_GBK" w:cs="Times New Roman"/>
          <w:sz w:val="28"/>
          <w:szCs w:val="28"/>
          <w:lang w:eastAsia="zh-CN"/>
        </w:rPr>
        <w:t>，报价不得超过预算价</w:t>
      </w:r>
      <w:r>
        <w:rPr>
          <w:rFonts w:hint="default" w:ascii="Times New Roman" w:hAnsi="Times New Roman" w:eastAsia="方正仿宋_GBK" w:cs="Times New Roman"/>
          <w:sz w:val="28"/>
          <w:szCs w:val="28"/>
        </w:rPr>
        <w:t>。</w:t>
      </w:r>
    </w:p>
    <w:p w14:paraId="41EE10EB">
      <w:pPr>
        <w:spacing w:line="36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第三章</w:t>
      </w:r>
      <w:r>
        <w:rPr>
          <w:rFonts w:hint="eastAsia" w:ascii="Times New Roman" w:hAnsi="Times New Roman" w:cs="Times New Roman"/>
          <w:b/>
          <w:sz w:val="28"/>
          <w:szCs w:val="28"/>
          <w:lang w:val="en-US" w:eastAsia="zh-CN"/>
        </w:rPr>
        <w:t xml:space="preserve">  </w:t>
      </w:r>
      <w:r>
        <w:rPr>
          <w:rFonts w:hint="default" w:ascii="Times New Roman" w:hAnsi="Times New Roman" w:cs="Times New Roman"/>
          <w:b/>
          <w:sz w:val="28"/>
          <w:szCs w:val="28"/>
        </w:rPr>
        <w:t>比选程序及评审标准</w:t>
      </w:r>
    </w:p>
    <w:p w14:paraId="76D8A038">
      <w:pPr>
        <w:spacing w:line="360" w:lineRule="auto"/>
        <w:ind w:firstLine="562"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b/>
          <w:sz w:val="28"/>
          <w:szCs w:val="28"/>
        </w:rPr>
        <w:t>一、</w:t>
      </w:r>
      <w:r>
        <w:rPr>
          <w:rFonts w:hint="default" w:ascii="Times New Roman" w:hAnsi="Times New Roman" w:eastAsia="方正仿宋_GBK" w:cs="Times New Roman"/>
          <w:sz w:val="28"/>
          <w:szCs w:val="28"/>
        </w:rPr>
        <w:t>由采购人自行组成比选委员会，负责查看供应商所申报的材料是否完善，是否按要求加盖单位印章。</w:t>
      </w:r>
    </w:p>
    <w:p w14:paraId="0661F6EF">
      <w:pPr>
        <w:spacing w:line="360" w:lineRule="auto"/>
        <w:ind w:firstLine="562"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b/>
          <w:sz w:val="28"/>
          <w:szCs w:val="28"/>
        </w:rPr>
        <w:t>二</w:t>
      </w:r>
      <w:r>
        <w:rPr>
          <w:rFonts w:hint="default" w:ascii="Times New Roman" w:hAnsi="Times New Roman" w:eastAsia="方正仿宋_GBK" w:cs="Times New Roman"/>
          <w:sz w:val="28"/>
          <w:szCs w:val="28"/>
        </w:rPr>
        <w:t>、评选委员会根据评审要求对供应商申报材料进行评审，按</w:t>
      </w:r>
      <w:r>
        <w:rPr>
          <w:rFonts w:hint="default" w:ascii="Times New Roman" w:hAnsi="Times New Roman" w:eastAsia="方正仿宋_GBK" w:cs="Times New Roman"/>
          <w:sz w:val="28"/>
          <w:szCs w:val="28"/>
          <w:lang w:eastAsia="zh-CN"/>
        </w:rPr>
        <w:t>报价由低到高</w:t>
      </w:r>
      <w:r>
        <w:rPr>
          <w:rFonts w:hint="default" w:ascii="Times New Roman" w:hAnsi="Times New Roman" w:eastAsia="方正仿宋_GBK" w:cs="Times New Roman"/>
          <w:sz w:val="28"/>
          <w:szCs w:val="28"/>
        </w:rPr>
        <w:t>排序。由评比选委员会确定排序第一的为成交供应商。排名第一的成交供应商放弃成交的，确定排名第二的为成交供应商，依次类推。</w:t>
      </w:r>
    </w:p>
    <w:p w14:paraId="5B283B66">
      <w:pPr>
        <w:spacing w:line="360" w:lineRule="auto"/>
        <w:jc w:val="center"/>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rPr>
        <w:t>第四章</w:t>
      </w:r>
      <w:r>
        <w:rPr>
          <w:rFonts w:hint="eastAsia" w:ascii="Times New Roman" w:hAnsi="Times New Roman" w:cs="Times New Roman"/>
          <w:b/>
          <w:sz w:val="28"/>
          <w:szCs w:val="28"/>
          <w:highlight w:val="none"/>
          <w:lang w:val="en-US" w:eastAsia="zh-CN"/>
        </w:rPr>
        <w:t xml:space="preserve">  </w:t>
      </w:r>
      <w:r>
        <w:rPr>
          <w:rFonts w:hint="default" w:ascii="Times New Roman" w:hAnsi="Times New Roman" w:cs="Times New Roman"/>
          <w:b/>
          <w:sz w:val="28"/>
          <w:szCs w:val="28"/>
          <w:highlight w:val="none"/>
        </w:rPr>
        <w:t>响应文件要求</w:t>
      </w:r>
    </w:p>
    <w:p w14:paraId="521B2285">
      <w:pPr>
        <w:spacing w:line="360" w:lineRule="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一、比选申请函（格式自拟）；</w:t>
      </w:r>
    </w:p>
    <w:p w14:paraId="3295F931">
      <w:pPr>
        <w:spacing w:line="360" w:lineRule="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二、报价表（格式自拟）；</w:t>
      </w:r>
    </w:p>
    <w:p w14:paraId="798E7CF1">
      <w:pPr>
        <w:spacing w:line="360" w:lineRule="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三、符合《政府采购法》第二十二条的证明材料及相关的承诺函；</w:t>
      </w:r>
    </w:p>
    <w:p w14:paraId="17C84F92">
      <w:pPr>
        <w:spacing w:line="360" w:lineRule="auto"/>
        <w:rPr>
          <w:rFonts w:hint="default" w:ascii="Times New Roman" w:hAnsi="Times New Roman" w:eastAsia="方正仿宋_GBK" w:cs="Times New Roman"/>
          <w:sz w:val="28"/>
          <w:szCs w:val="28"/>
          <w:highlight w:val="none"/>
          <w:lang w:eastAsia="zh-CN"/>
        </w:rPr>
      </w:pPr>
      <w:r>
        <w:rPr>
          <w:rFonts w:hint="default" w:ascii="Times New Roman" w:hAnsi="Times New Roman" w:eastAsia="方正仿宋_GBK" w:cs="Times New Roman"/>
          <w:sz w:val="28"/>
          <w:szCs w:val="28"/>
          <w:highlight w:val="none"/>
        </w:rPr>
        <w:t>四、特定要求（资格）证明文件</w:t>
      </w:r>
      <w:r>
        <w:rPr>
          <w:rFonts w:hint="default" w:ascii="Times New Roman" w:hAnsi="Times New Roman" w:eastAsia="方正仿宋_GBK" w:cs="Times New Roman"/>
          <w:sz w:val="28"/>
          <w:szCs w:val="28"/>
          <w:highlight w:val="none"/>
          <w:lang w:eastAsia="zh-CN"/>
        </w:rPr>
        <w:t>（如有要求）</w:t>
      </w:r>
      <w:r>
        <w:rPr>
          <w:rFonts w:hint="default" w:ascii="Times New Roman" w:hAnsi="Times New Roman" w:eastAsia="方正仿宋_GBK" w:cs="Times New Roman"/>
          <w:sz w:val="28"/>
          <w:szCs w:val="28"/>
          <w:highlight w:val="none"/>
        </w:rPr>
        <w:t>；</w:t>
      </w:r>
    </w:p>
    <w:p w14:paraId="68547176">
      <w:pPr>
        <w:spacing w:line="360" w:lineRule="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五、法定代表人授权委托书（法定代表人本人参加的，不提交）；</w:t>
      </w:r>
    </w:p>
    <w:p w14:paraId="1D00BAA0">
      <w:pPr>
        <w:spacing w:line="360" w:lineRule="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六、</w:t>
      </w:r>
      <w:r>
        <w:rPr>
          <w:rFonts w:hint="default" w:ascii="Times New Roman" w:hAnsi="Times New Roman" w:eastAsia="方正仿宋_GBK" w:cs="Times New Roman"/>
          <w:sz w:val="28"/>
          <w:szCs w:val="28"/>
          <w:highlight w:val="none"/>
          <w:lang w:eastAsia="zh-CN"/>
        </w:rPr>
        <w:t>参数</w:t>
      </w:r>
      <w:r>
        <w:rPr>
          <w:rFonts w:hint="default" w:ascii="Times New Roman" w:hAnsi="Times New Roman" w:eastAsia="方正仿宋_GBK" w:cs="Times New Roman"/>
          <w:sz w:val="28"/>
          <w:szCs w:val="28"/>
          <w:highlight w:val="none"/>
        </w:rPr>
        <w:t>要求及商务要求响应文件；</w:t>
      </w:r>
    </w:p>
    <w:p w14:paraId="57948211">
      <w:pPr>
        <w:spacing w:line="360" w:lineRule="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七、其他证明材料。</w:t>
      </w:r>
    </w:p>
    <w:p w14:paraId="2FF10398">
      <w:pPr>
        <w:spacing w:line="360" w:lineRule="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highlight w:val="none"/>
        </w:rPr>
        <w:t>供应商应保证所提交材料的合法性、真实性和有效性。响应文件需提交正本一份，密封并加盖公章。</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703020204020201"/>
    <w:charset w:val="86"/>
    <w:family w:val="auto"/>
    <w:pitch w:val="default"/>
    <w:sig w:usb0="80000287" w:usb1="080F3C52" w:usb2="00000016" w:usb3="00000000" w:csb0="0004001F" w:csb1="00000000"/>
  </w:font>
  <w:font w:name="方正小标宋_GBK">
    <w:panose1 w:val="03000509000000000000"/>
    <w:charset w:val="86"/>
    <w:family w:val="script"/>
    <w:pitch w:val="default"/>
    <w:sig w:usb0="00000001" w:usb1="080E0000" w:usb2="00000000" w:usb3="00000000" w:csb0="00040000" w:csb1="00000000"/>
    <w:embedRegular r:id="rId1" w:fontKey="{6D89AA59-647A-4EB9-AA61-41C4903605C7}"/>
  </w:font>
  <w:font w:name="方正仿宋_GBK">
    <w:panose1 w:val="03000509000000000000"/>
    <w:charset w:val="86"/>
    <w:family w:val="script"/>
    <w:pitch w:val="default"/>
    <w:sig w:usb0="00000001" w:usb1="080E0000" w:usb2="00000000" w:usb3="00000000" w:csb0="00040000" w:csb1="00000000"/>
    <w:embedRegular r:id="rId2" w:fontKey="{01C29A8F-0CB5-4B77-AEB6-F4BC873E9E51}"/>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0887AA"/>
    <w:multiLevelType w:val="singleLevel"/>
    <w:tmpl w:val="8D0887AA"/>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iOGEzNzg5MTU2ZTk1YzBiMjg2NDYxOTcwYjdhYWEifQ=="/>
  </w:docVars>
  <w:rsids>
    <w:rsidRoot w:val="00000000"/>
    <w:rsid w:val="00C36B5B"/>
    <w:rsid w:val="019B53E2"/>
    <w:rsid w:val="024E68F9"/>
    <w:rsid w:val="0279044D"/>
    <w:rsid w:val="05294D64"/>
    <w:rsid w:val="054E0A41"/>
    <w:rsid w:val="071D4945"/>
    <w:rsid w:val="098A5098"/>
    <w:rsid w:val="0B2767D3"/>
    <w:rsid w:val="0B381EF4"/>
    <w:rsid w:val="0CB4627B"/>
    <w:rsid w:val="0D0C1CCB"/>
    <w:rsid w:val="0D234FA8"/>
    <w:rsid w:val="0DDE3227"/>
    <w:rsid w:val="0E236E8B"/>
    <w:rsid w:val="0FBF6BD6"/>
    <w:rsid w:val="0FED3A67"/>
    <w:rsid w:val="12305059"/>
    <w:rsid w:val="12720067"/>
    <w:rsid w:val="12955E7E"/>
    <w:rsid w:val="134731DC"/>
    <w:rsid w:val="139323BD"/>
    <w:rsid w:val="13F865A2"/>
    <w:rsid w:val="15604521"/>
    <w:rsid w:val="163026F1"/>
    <w:rsid w:val="17C26622"/>
    <w:rsid w:val="18EC725E"/>
    <w:rsid w:val="1A167FF5"/>
    <w:rsid w:val="1B446693"/>
    <w:rsid w:val="1CC47299"/>
    <w:rsid w:val="1EA638ED"/>
    <w:rsid w:val="1EAD7030"/>
    <w:rsid w:val="1EE85C8C"/>
    <w:rsid w:val="1EEB1FFC"/>
    <w:rsid w:val="1FB63935"/>
    <w:rsid w:val="20A306A9"/>
    <w:rsid w:val="23902475"/>
    <w:rsid w:val="23993E95"/>
    <w:rsid w:val="240C120F"/>
    <w:rsid w:val="24E16D01"/>
    <w:rsid w:val="259A2A07"/>
    <w:rsid w:val="26243349"/>
    <w:rsid w:val="26CA1EB3"/>
    <w:rsid w:val="270C5549"/>
    <w:rsid w:val="27127BC4"/>
    <w:rsid w:val="28A746F7"/>
    <w:rsid w:val="28F2772E"/>
    <w:rsid w:val="2B7D7783"/>
    <w:rsid w:val="2FBA710F"/>
    <w:rsid w:val="2FBA7A91"/>
    <w:rsid w:val="31D85471"/>
    <w:rsid w:val="35251970"/>
    <w:rsid w:val="35917B11"/>
    <w:rsid w:val="35AB6E18"/>
    <w:rsid w:val="36A63946"/>
    <w:rsid w:val="381157C5"/>
    <w:rsid w:val="383E473E"/>
    <w:rsid w:val="3882255C"/>
    <w:rsid w:val="390019F4"/>
    <w:rsid w:val="3A744447"/>
    <w:rsid w:val="3ABC6014"/>
    <w:rsid w:val="3DC94AAA"/>
    <w:rsid w:val="4024658A"/>
    <w:rsid w:val="40D914A8"/>
    <w:rsid w:val="413C4A27"/>
    <w:rsid w:val="41ED17A8"/>
    <w:rsid w:val="43421012"/>
    <w:rsid w:val="43486471"/>
    <w:rsid w:val="43790D20"/>
    <w:rsid w:val="43896011"/>
    <w:rsid w:val="438B5E97"/>
    <w:rsid w:val="43A00B8F"/>
    <w:rsid w:val="43DF3505"/>
    <w:rsid w:val="44EB0278"/>
    <w:rsid w:val="45A4384A"/>
    <w:rsid w:val="468C194A"/>
    <w:rsid w:val="48130844"/>
    <w:rsid w:val="491851BE"/>
    <w:rsid w:val="491D5CAA"/>
    <w:rsid w:val="49766D2C"/>
    <w:rsid w:val="49975A5C"/>
    <w:rsid w:val="4B0515A5"/>
    <w:rsid w:val="4D583C4A"/>
    <w:rsid w:val="4D781E93"/>
    <w:rsid w:val="4E7927EC"/>
    <w:rsid w:val="4ED37092"/>
    <w:rsid w:val="4FB76D19"/>
    <w:rsid w:val="5031210E"/>
    <w:rsid w:val="505E2301"/>
    <w:rsid w:val="52507AD4"/>
    <w:rsid w:val="529D77FC"/>
    <w:rsid w:val="52C11D9C"/>
    <w:rsid w:val="53560736"/>
    <w:rsid w:val="54680721"/>
    <w:rsid w:val="546D455B"/>
    <w:rsid w:val="555A0F92"/>
    <w:rsid w:val="56CB79B7"/>
    <w:rsid w:val="582F123A"/>
    <w:rsid w:val="58AE691E"/>
    <w:rsid w:val="58DC4194"/>
    <w:rsid w:val="58E8520B"/>
    <w:rsid w:val="59835FFD"/>
    <w:rsid w:val="5BF136F2"/>
    <w:rsid w:val="5D935EAC"/>
    <w:rsid w:val="5E230F8E"/>
    <w:rsid w:val="5F1D47FE"/>
    <w:rsid w:val="5F242C7E"/>
    <w:rsid w:val="606F2E37"/>
    <w:rsid w:val="60E01095"/>
    <w:rsid w:val="617630F5"/>
    <w:rsid w:val="62B634D1"/>
    <w:rsid w:val="643D1308"/>
    <w:rsid w:val="64C574CA"/>
    <w:rsid w:val="65FA573C"/>
    <w:rsid w:val="660801DD"/>
    <w:rsid w:val="679A2E90"/>
    <w:rsid w:val="69225CCB"/>
    <w:rsid w:val="692D60ED"/>
    <w:rsid w:val="69407F73"/>
    <w:rsid w:val="6A297D50"/>
    <w:rsid w:val="6BAA566B"/>
    <w:rsid w:val="6C2829CE"/>
    <w:rsid w:val="6D094D6F"/>
    <w:rsid w:val="6D6F1780"/>
    <w:rsid w:val="70E124CA"/>
    <w:rsid w:val="715951A7"/>
    <w:rsid w:val="730241FA"/>
    <w:rsid w:val="74C5115E"/>
    <w:rsid w:val="75B53D7B"/>
    <w:rsid w:val="76E83219"/>
    <w:rsid w:val="770F204B"/>
    <w:rsid w:val="772A6CF2"/>
    <w:rsid w:val="77EA5DB6"/>
    <w:rsid w:val="781221E5"/>
    <w:rsid w:val="7A5E7252"/>
    <w:rsid w:val="7A9327C9"/>
    <w:rsid w:val="7CE067F3"/>
    <w:rsid w:val="7DFD5ACF"/>
    <w:rsid w:val="7FAE1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unhideWhenUsed/>
    <w:qFormat/>
    <w:uiPriority w:val="99"/>
    <w:pPr>
      <w:spacing w:after="120"/>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无间隔1"/>
    <w:basedOn w:val="1"/>
    <w:qFormat/>
    <w:uiPriority w:val="99"/>
    <w:pPr>
      <w:spacing w:line="400" w:lineRule="exact"/>
    </w:pPr>
    <w:rPr>
      <w:sz w:val="24"/>
    </w:rPr>
  </w:style>
  <w:style w:type="paragraph" w:customStyle="1" w:styleId="8">
    <w:name w:val="Table Text"/>
    <w:basedOn w:val="1"/>
    <w:semiHidden/>
    <w:qFormat/>
    <w:uiPriority w:val="0"/>
    <w:rPr>
      <w:rFonts w:ascii="Arial" w:hAnsi="Arial" w:eastAsia="Arial" w:cs="Arial"/>
      <w:sz w:val="14"/>
      <w:szCs w:val="14"/>
      <w:lang w:val="en-US" w:eastAsia="en-US" w:bidi="ar-SA"/>
    </w:rPr>
  </w:style>
  <w:style w:type="character" w:customStyle="1" w:styleId="9">
    <w:name w:val="font81"/>
    <w:basedOn w:val="6"/>
    <w:qFormat/>
    <w:uiPriority w:val="0"/>
    <w:rPr>
      <w:rFonts w:hint="eastAsia" w:ascii="微软雅黑" w:hAnsi="微软雅黑" w:eastAsia="微软雅黑" w:cs="微软雅黑"/>
      <w:color w:val="000000"/>
      <w:sz w:val="24"/>
      <w:szCs w:val="24"/>
      <w:u w:val="none"/>
      <w:vertAlign w:val="superscript"/>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4649</Words>
  <Characters>4757</Characters>
  <Lines>0</Lines>
  <Paragraphs>0</Paragraphs>
  <TotalTime>15</TotalTime>
  <ScaleCrop>false</ScaleCrop>
  <LinksUpToDate>false</LinksUpToDate>
  <CharactersWithSpaces>4775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2024-10-29T10:11:00Z</dcterms:created>
  <dc:creator>LENOVO</dc:creator>
  <cp:lastModifiedBy>董骁勇</cp:lastModifiedBy>
  <cp:lastPrinted>2025-10-09T09:09:00Z</cp:lastPrinted>
  <dcterms:modified xsi:type="dcterms:W3CDTF">2025-11-10T07:25:49Z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90621E40DE324D82BB0BF7521E234425</vt:lpwstr>
  </property>
  <property fmtid="{D5CDD505-2E9C-101B-9397-08002B2CF9AE}" pid="4" name="KSOTemplateDocerSaveRecord">
    <vt:lpwstr>eyJoZGlkIjoiMTQwYTdmNjIwN2ZhNDZkMjQyY2RhZjVkZWZhNjc0ZTIiLCJ1c2VySWQiOiIxNTY4MzYzODM3In0=</vt:lpwstr>
  </property>
</Properties>
</file>