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9832B0">
      <w:pPr>
        <w:spacing w:line="578" w:lineRule="exact"/>
        <w:jc w:val="center"/>
        <w:outlineLvl w:val="0"/>
        <w:rPr>
          <w:rFonts w:ascii="Times New Roman" w:hAnsi="Times New Roman" w:eastAsia="方正小标宋_GBK" w:cs="Times New Roman"/>
          <w:bCs/>
          <w:sz w:val="44"/>
          <w:szCs w:val="44"/>
        </w:rPr>
      </w:pPr>
      <w:bookmarkStart w:id="0" w:name="_GoBack"/>
      <w:bookmarkEnd w:id="0"/>
      <w:r>
        <w:rPr>
          <w:rFonts w:ascii="Times New Roman" w:hAnsi="Times New Roman" w:eastAsia="方正小标宋_GBK" w:cs="Times New Roman"/>
          <w:bCs/>
          <w:sz w:val="44"/>
          <w:szCs w:val="44"/>
        </w:rPr>
        <w:t>成都市龙泉驿区中医医院</w:t>
      </w:r>
    </w:p>
    <w:p w14:paraId="4EB29E1D">
      <w:pPr>
        <w:spacing w:line="578" w:lineRule="exact"/>
        <w:jc w:val="center"/>
        <w:outlineLvl w:val="0"/>
        <w:rPr>
          <w:rFonts w:hint="eastAsia" w:ascii="Times New Roman" w:hAnsi="Times New Roman" w:eastAsia="方正小标宋_GBK" w:cs="Times New Roman"/>
          <w:bCs/>
          <w:sz w:val="44"/>
          <w:szCs w:val="44"/>
        </w:rPr>
      </w:pPr>
      <w:r>
        <w:rPr>
          <w:rFonts w:hint="eastAsia" w:ascii="Times New Roman" w:hAnsi="Times New Roman" w:eastAsia="方正小标宋_GBK" w:cs="Times New Roman"/>
          <w:bCs/>
          <w:sz w:val="44"/>
          <w:szCs w:val="44"/>
          <w:lang w:eastAsia="zh-CN"/>
        </w:rPr>
        <w:t>手腕带采购</w:t>
      </w:r>
      <w:r>
        <w:rPr>
          <w:rFonts w:hint="eastAsia" w:ascii="Times New Roman" w:hAnsi="Times New Roman" w:eastAsia="方正小标宋_GBK" w:cs="Times New Roman"/>
          <w:bCs/>
          <w:sz w:val="44"/>
          <w:szCs w:val="44"/>
        </w:rPr>
        <w:t>比选文件</w:t>
      </w:r>
    </w:p>
    <w:p w14:paraId="6103E608">
      <w:pPr>
        <w:spacing w:line="360" w:lineRule="auto"/>
        <w:jc w:val="center"/>
        <w:rPr>
          <w:rFonts w:ascii="Times New Roman" w:hAnsi="Times New Roman" w:cs="Times New Roman"/>
          <w:b/>
          <w:sz w:val="28"/>
          <w:szCs w:val="28"/>
        </w:rPr>
      </w:pPr>
      <w:r>
        <w:rPr>
          <w:rFonts w:ascii="Times New Roman" w:hAnsi="Times New Roman" w:cs="Times New Roman"/>
          <w:b/>
          <w:sz w:val="28"/>
          <w:szCs w:val="28"/>
        </w:rPr>
        <w:t>第一章 比选要求</w:t>
      </w:r>
    </w:p>
    <w:p w14:paraId="018118EF">
      <w:pPr>
        <w:spacing w:line="360" w:lineRule="auto"/>
        <w:ind w:firstLine="562" w:firstLineChars="200"/>
        <w:rPr>
          <w:rFonts w:ascii="Times New Roman" w:hAnsi="Times New Roman" w:cs="Times New Roman"/>
          <w:b w:val="0"/>
          <w:bCs w:val="0"/>
          <w:sz w:val="28"/>
          <w:szCs w:val="28"/>
        </w:rPr>
      </w:pPr>
      <w:r>
        <w:rPr>
          <w:rFonts w:ascii="Times New Roman" w:hAnsi="Times New Roman" w:cs="Times New Roman"/>
          <w:b/>
          <w:bCs/>
          <w:sz w:val="28"/>
          <w:szCs w:val="28"/>
        </w:rPr>
        <w:t>一、项目概况</w:t>
      </w:r>
    </w:p>
    <w:p w14:paraId="2309C9E6">
      <w:pPr>
        <w:spacing w:line="578"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1.根据业务需要采购</w:t>
      </w:r>
      <w:r>
        <w:rPr>
          <w:rFonts w:hint="eastAsia" w:ascii="Times New Roman" w:hAnsi="Times New Roman" w:cs="Times New Roman"/>
          <w:sz w:val="28"/>
          <w:szCs w:val="28"/>
          <w:lang w:eastAsia="zh-CN"/>
        </w:rPr>
        <w:t>手腕带</w:t>
      </w:r>
      <w:r>
        <w:rPr>
          <w:rFonts w:hint="eastAsia" w:ascii="Times New Roman" w:hAnsi="Times New Roman" w:cs="Times New Roman"/>
          <w:sz w:val="28"/>
          <w:szCs w:val="28"/>
        </w:rPr>
        <w:t>。</w:t>
      </w:r>
    </w:p>
    <w:p w14:paraId="69C770A8">
      <w:pPr>
        <w:spacing w:line="360" w:lineRule="auto"/>
        <w:ind w:firstLine="560" w:firstLineChars="200"/>
        <w:rPr>
          <w:rFonts w:hint="eastAsia" w:ascii="Times New Roman" w:hAnsi="Times New Roman" w:cs="Times New Roman" w:eastAsiaTheme="minorEastAsia"/>
          <w:sz w:val="28"/>
          <w:szCs w:val="28"/>
          <w:lang w:val="en-US" w:eastAsia="zh-CN"/>
        </w:rPr>
      </w:pPr>
      <w:r>
        <w:rPr>
          <w:rFonts w:hint="eastAsia" w:ascii="Times New Roman" w:hAnsi="Times New Roman" w:cs="Times New Roman"/>
          <w:sz w:val="28"/>
          <w:szCs w:val="28"/>
        </w:rPr>
        <w:t>2.项目预算：</w:t>
      </w:r>
      <w:r>
        <w:rPr>
          <w:rFonts w:hint="eastAsia" w:ascii="Times New Roman" w:hAnsi="Times New Roman" w:cs="Times New Roman"/>
          <w:sz w:val="28"/>
          <w:szCs w:val="28"/>
          <w:lang w:val="en-US" w:eastAsia="zh-CN"/>
        </w:rPr>
        <w:t>4.8</w:t>
      </w:r>
      <w:r>
        <w:rPr>
          <w:rFonts w:hint="eastAsia" w:ascii="Times New Roman" w:hAnsi="Times New Roman" w:cs="Times New Roman"/>
          <w:sz w:val="28"/>
          <w:szCs w:val="28"/>
        </w:rPr>
        <w:t>万元</w:t>
      </w:r>
      <w:r>
        <w:rPr>
          <w:rFonts w:hint="eastAsia" w:ascii="Times New Roman" w:hAnsi="Times New Roman" w:cs="Times New Roman"/>
          <w:sz w:val="28"/>
          <w:szCs w:val="28"/>
          <w:lang w:val="en-US" w:eastAsia="zh-CN"/>
        </w:rPr>
        <w:t>/年</w:t>
      </w:r>
    </w:p>
    <w:p w14:paraId="1722E3E0">
      <w:pPr>
        <w:spacing w:line="360" w:lineRule="auto"/>
        <w:ind w:firstLine="562" w:firstLineChars="200"/>
        <w:rPr>
          <w:rFonts w:ascii="Times New Roman" w:hAnsi="Times New Roman" w:cs="Times New Roman"/>
          <w:b/>
          <w:sz w:val="28"/>
          <w:szCs w:val="28"/>
        </w:rPr>
      </w:pPr>
      <w:r>
        <w:rPr>
          <w:rFonts w:ascii="Times New Roman" w:hAnsi="Times New Roman" w:cs="Times New Roman"/>
          <w:b/>
          <w:sz w:val="28"/>
          <w:szCs w:val="28"/>
        </w:rPr>
        <w:t>二、比选报名</w:t>
      </w:r>
    </w:p>
    <w:p w14:paraId="2678A552">
      <w:pPr>
        <w:spacing w:line="360" w:lineRule="auto"/>
        <w:ind w:firstLine="281" w:firstLineChars="100"/>
        <w:rPr>
          <w:rFonts w:ascii="Times New Roman" w:hAnsi="Times New Roman" w:cs="Times New Roman"/>
          <w:b/>
          <w:sz w:val="28"/>
          <w:szCs w:val="28"/>
        </w:rPr>
      </w:pPr>
      <w:r>
        <w:rPr>
          <w:rFonts w:ascii="Times New Roman" w:hAnsi="Times New Roman" w:cs="Times New Roman"/>
          <w:b/>
          <w:sz w:val="28"/>
          <w:szCs w:val="28"/>
        </w:rPr>
        <w:t>（一）供应商报名条件</w:t>
      </w:r>
    </w:p>
    <w:p w14:paraId="3070317A">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1．符合《中华人民共和国政府采购法》第二十二条之规定，具体如下：</w:t>
      </w:r>
    </w:p>
    <w:p w14:paraId="79BDCF3E">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1.1 具有独立承担民事责任的能力；</w:t>
      </w:r>
    </w:p>
    <w:p w14:paraId="64E85373">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1.2 具有良好的商业信誉和健全的财务会计制度；</w:t>
      </w:r>
    </w:p>
    <w:p w14:paraId="26925BED">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1.</w:t>
      </w:r>
      <w:r>
        <w:rPr>
          <w:rFonts w:hint="eastAsia" w:ascii="Times New Roman" w:hAnsi="Times New Roman" w:cs="Times New Roman"/>
          <w:sz w:val="28"/>
          <w:szCs w:val="28"/>
          <w:lang w:val="en-US" w:eastAsia="zh-CN"/>
        </w:rPr>
        <w:t>3</w:t>
      </w:r>
      <w:r>
        <w:rPr>
          <w:rFonts w:ascii="Times New Roman" w:hAnsi="Times New Roman" w:cs="Times New Roman"/>
          <w:sz w:val="28"/>
          <w:szCs w:val="28"/>
        </w:rPr>
        <w:t xml:space="preserve"> 有依法缴纳税收和社会保障资金的良好记录；</w:t>
      </w:r>
    </w:p>
    <w:p w14:paraId="4287394C">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1.</w:t>
      </w:r>
      <w:r>
        <w:rPr>
          <w:rFonts w:hint="eastAsia" w:ascii="Times New Roman" w:hAnsi="Times New Roman" w:cs="Times New Roman"/>
          <w:sz w:val="28"/>
          <w:szCs w:val="28"/>
          <w:lang w:val="en-US" w:eastAsia="zh-CN"/>
        </w:rPr>
        <w:t>4</w:t>
      </w:r>
      <w:r>
        <w:rPr>
          <w:rFonts w:ascii="Times New Roman" w:hAnsi="Times New Roman" w:cs="Times New Roman"/>
          <w:sz w:val="28"/>
          <w:szCs w:val="28"/>
        </w:rPr>
        <w:t xml:space="preserve"> 参加政府采购活动前三年内，在经营活动中没有重大违法记录；</w:t>
      </w:r>
    </w:p>
    <w:p w14:paraId="683D0C72">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1.</w:t>
      </w:r>
      <w:r>
        <w:rPr>
          <w:rFonts w:hint="eastAsia" w:ascii="Times New Roman" w:hAnsi="Times New Roman" w:cs="Times New Roman"/>
          <w:sz w:val="28"/>
          <w:szCs w:val="28"/>
          <w:lang w:val="en-US" w:eastAsia="zh-CN"/>
        </w:rPr>
        <w:t>5</w:t>
      </w:r>
      <w:r>
        <w:rPr>
          <w:rFonts w:ascii="Times New Roman" w:hAnsi="Times New Roman" w:cs="Times New Roman"/>
          <w:sz w:val="28"/>
          <w:szCs w:val="28"/>
        </w:rPr>
        <w:t xml:space="preserve"> 法律、行政法规规定的其他条件。</w:t>
      </w:r>
    </w:p>
    <w:p w14:paraId="033D6D30">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2．本项目不接受联合体参加比选。</w:t>
      </w:r>
    </w:p>
    <w:p w14:paraId="7240A001">
      <w:pPr>
        <w:spacing w:line="360" w:lineRule="auto"/>
        <w:ind w:firstLine="560" w:firstLineChars="200"/>
        <w:rPr>
          <w:rFonts w:hint="eastAsia" w:ascii="Times New Roman" w:hAnsi="Times New Roman" w:cs="Times New Roman" w:eastAsiaTheme="minorEastAsia"/>
          <w:strike/>
          <w:dstrike w:val="0"/>
          <w:color w:val="0000FF"/>
          <w:sz w:val="28"/>
          <w:szCs w:val="28"/>
          <w:lang w:val="en-US" w:eastAsia="zh-CN"/>
        </w:rPr>
      </w:pPr>
      <w:r>
        <w:rPr>
          <w:rFonts w:ascii="Times New Roman" w:hAnsi="Times New Roman" w:cs="Times New Roman"/>
          <w:sz w:val="28"/>
          <w:szCs w:val="28"/>
        </w:rPr>
        <w:t>3．本项目特定要求：</w:t>
      </w:r>
      <w:r>
        <w:rPr>
          <w:rFonts w:hint="eastAsia" w:ascii="Times New Roman" w:hAnsi="Times New Roman" w:cs="Times New Roman"/>
          <w:sz w:val="28"/>
          <w:szCs w:val="28"/>
          <w:lang w:val="en-US" w:eastAsia="zh-CN"/>
        </w:rPr>
        <w:t>无。</w:t>
      </w:r>
    </w:p>
    <w:p w14:paraId="7A7B031A">
      <w:pPr>
        <w:spacing w:line="360" w:lineRule="auto"/>
        <w:ind w:firstLine="281" w:firstLineChars="100"/>
        <w:rPr>
          <w:rFonts w:ascii="Times New Roman" w:hAnsi="Times New Roman" w:cs="Times New Roman"/>
          <w:sz w:val="28"/>
          <w:szCs w:val="28"/>
        </w:rPr>
      </w:pPr>
      <w:r>
        <w:rPr>
          <w:rFonts w:ascii="Times New Roman" w:hAnsi="Times New Roman" w:cs="Times New Roman"/>
          <w:b/>
          <w:sz w:val="28"/>
          <w:szCs w:val="28"/>
        </w:rPr>
        <w:t>（二）报名要求</w:t>
      </w:r>
      <w:r>
        <w:rPr>
          <w:rFonts w:ascii="Times New Roman" w:hAnsi="Times New Roman" w:cs="Times New Roman"/>
          <w:sz w:val="28"/>
          <w:szCs w:val="28"/>
        </w:rPr>
        <w:t>：</w:t>
      </w:r>
    </w:p>
    <w:p w14:paraId="35AC6245">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按要求时间提交响应文件视为报名。</w:t>
      </w:r>
    </w:p>
    <w:p w14:paraId="2EA73101">
      <w:pPr>
        <w:spacing w:line="360" w:lineRule="auto"/>
        <w:rPr>
          <w:rFonts w:ascii="Times New Roman" w:hAnsi="Times New Roman" w:cs="Times New Roman"/>
          <w:b/>
          <w:sz w:val="28"/>
          <w:szCs w:val="28"/>
        </w:rPr>
      </w:pPr>
      <w:r>
        <w:rPr>
          <w:rFonts w:ascii="Times New Roman" w:hAnsi="Times New Roman" w:cs="Times New Roman"/>
          <w:b/>
          <w:sz w:val="28"/>
          <w:szCs w:val="28"/>
        </w:rPr>
        <w:t>三、比选文件领取方式</w:t>
      </w:r>
    </w:p>
    <w:p w14:paraId="7CEB385A">
      <w:pPr>
        <w:spacing w:line="360" w:lineRule="auto"/>
        <w:ind w:firstLine="280" w:firstLineChars="100"/>
        <w:rPr>
          <w:rFonts w:ascii="Times New Roman" w:hAnsi="Times New Roman" w:cs="Times New Roman"/>
          <w:sz w:val="28"/>
          <w:szCs w:val="28"/>
        </w:rPr>
      </w:pPr>
      <w:r>
        <w:rPr>
          <w:rFonts w:ascii="Times New Roman" w:hAnsi="Times New Roman" w:cs="Times New Roman"/>
          <w:sz w:val="28"/>
          <w:szCs w:val="28"/>
        </w:rPr>
        <w:t>通过医院官网下载比选文件。</w:t>
      </w:r>
    </w:p>
    <w:p w14:paraId="6DE10E21">
      <w:pPr>
        <w:spacing w:line="360" w:lineRule="auto"/>
        <w:rPr>
          <w:rFonts w:ascii="Times New Roman" w:hAnsi="Times New Roman" w:eastAsia="宋体" w:cs="Times New Roman"/>
          <w:b/>
          <w:sz w:val="28"/>
          <w:szCs w:val="28"/>
        </w:rPr>
      </w:pPr>
      <w:r>
        <w:rPr>
          <w:rFonts w:ascii="Times New Roman" w:hAnsi="Times New Roman" w:eastAsia="宋体" w:cs="Times New Roman"/>
          <w:b/>
          <w:sz w:val="28"/>
          <w:szCs w:val="28"/>
        </w:rPr>
        <w:t>四、响应文件接收时间和地点</w:t>
      </w:r>
    </w:p>
    <w:p w14:paraId="4EDE8A87">
      <w:pPr>
        <w:spacing w:line="360" w:lineRule="auto"/>
        <w:rPr>
          <w:rFonts w:ascii="Times New Roman" w:hAnsi="Times New Roman" w:eastAsia="方正仿宋_GBK" w:cs="Times New Roman"/>
          <w:sz w:val="28"/>
          <w:szCs w:val="28"/>
        </w:rPr>
      </w:pPr>
      <w:r>
        <w:rPr>
          <w:rFonts w:ascii="Times New Roman" w:hAnsi="Times New Roman" w:eastAsia="宋体" w:cs="Times New Roman"/>
          <w:sz w:val="28"/>
          <w:szCs w:val="28"/>
        </w:rPr>
        <w:t>文件递交时间：202</w:t>
      </w:r>
      <w:r>
        <w:rPr>
          <w:rFonts w:hint="eastAsia" w:ascii="Times New Roman" w:hAnsi="Times New Roman" w:eastAsia="宋体" w:cs="Times New Roman"/>
          <w:sz w:val="28"/>
          <w:szCs w:val="28"/>
          <w:lang w:val="en-US" w:eastAsia="zh-CN"/>
        </w:rPr>
        <w:t>5</w:t>
      </w:r>
      <w:r>
        <w:rPr>
          <w:rFonts w:ascii="Times New Roman" w:hAnsi="Times New Roman" w:eastAsia="宋体" w:cs="Times New Roman"/>
          <w:sz w:val="28"/>
          <w:szCs w:val="28"/>
        </w:rPr>
        <w:t>年</w:t>
      </w:r>
      <w:r>
        <w:rPr>
          <w:rFonts w:hint="eastAsia" w:ascii="Times New Roman" w:hAnsi="Times New Roman" w:eastAsia="宋体" w:cs="Times New Roman"/>
          <w:sz w:val="28"/>
          <w:szCs w:val="28"/>
          <w:lang w:val="en-US" w:eastAsia="zh-CN"/>
        </w:rPr>
        <w:t>3</w:t>
      </w:r>
      <w:r>
        <w:rPr>
          <w:rFonts w:ascii="Times New Roman" w:hAnsi="Times New Roman" w:eastAsia="宋体" w:cs="Times New Roman"/>
          <w:sz w:val="28"/>
          <w:szCs w:val="28"/>
        </w:rPr>
        <w:t>月</w:t>
      </w:r>
      <w:r>
        <w:rPr>
          <w:rFonts w:hint="eastAsia" w:ascii="Times New Roman" w:hAnsi="Times New Roman" w:eastAsia="宋体" w:cs="Times New Roman"/>
          <w:sz w:val="28"/>
          <w:szCs w:val="28"/>
          <w:lang w:val="en-US" w:eastAsia="zh-CN"/>
        </w:rPr>
        <w:t>11</w:t>
      </w:r>
      <w:r>
        <w:rPr>
          <w:rFonts w:ascii="Times New Roman" w:hAnsi="Times New Roman" w:eastAsia="宋体" w:cs="Times New Roman"/>
          <w:sz w:val="28"/>
          <w:szCs w:val="28"/>
        </w:rPr>
        <w:t>日</w:t>
      </w:r>
      <w:r>
        <w:rPr>
          <w:rFonts w:hint="eastAsia" w:ascii="Times New Roman" w:hAnsi="Times New Roman" w:eastAsia="方正仿宋_GBK" w:cs="Times New Roman"/>
          <w:sz w:val="28"/>
          <w:szCs w:val="28"/>
        </w:rPr>
        <w:t>09:00</w:t>
      </w:r>
      <w:r>
        <w:rPr>
          <w:rFonts w:ascii="Times New Roman" w:hAnsi="Times New Roman" w:eastAsia="方正仿宋_GBK" w:cs="Times New Roman"/>
          <w:sz w:val="28"/>
          <w:szCs w:val="28"/>
        </w:rPr>
        <w:t>-</w:t>
      </w:r>
      <w:r>
        <w:rPr>
          <w:rFonts w:hint="eastAsia" w:ascii="Times New Roman" w:hAnsi="Times New Roman" w:eastAsia="方正仿宋_GBK" w:cs="Times New Roman"/>
          <w:sz w:val="28"/>
          <w:szCs w:val="28"/>
        </w:rPr>
        <w:t>09</w:t>
      </w:r>
      <w:r>
        <w:rPr>
          <w:rFonts w:ascii="Times New Roman" w:hAnsi="Times New Roman" w:eastAsia="方正仿宋_GBK" w:cs="Times New Roman"/>
          <w:sz w:val="28"/>
          <w:szCs w:val="28"/>
        </w:rPr>
        <w:t>:</w:t>
      </w:r>
      <w:r>
        <w:rPr>
          <w:rFonts w:hint="eastAsia" w:ascii="Times New Roman" w:hAnsi="Times New Roman" w:eastAsia="方正仿宋_GBK" w:cs="Times New Roman"/>
          <w:sz w:val="28"/>
          <w:szCs w:val="28"/>
        </w:rPr>
        <w:t>3</w:t>
      </w:r>
      <w:r>
        <w:rPr>
          <w:rFonts w:ascii="Times New Roman" w:hAnsi="Times New Roman" w:eastAsia="方正仿宋_GBK" w:cs="Times New Roman"/>
          <w:sz w:val="28"/>
          <w:szCs w:val="28"/>
        </w:rPr>
        <w:t>0</w:t>
      </w:r>
    </w:p>
    <w:p w14:paraId="7F80A032">
      <w:pPr>
        <w:spacing w:line="360" w:lineRule="auto"/>
        <w:rPr>
          <w:rFonts w:ascii="Times New Roman" w:hAnsi="Times New Roman" w:eastAsia="宋体" w:cs="Times New Roman"/>
          <w:sz w:val="28"/>
          <w:szCs w:val="28"/>
        </w:rPr>
      </w:pPr>
      <w:r>
        <w:rPr>
          <w:rFonts w:ascii="Times New Roman" w:hAnsi="Times New Roman" w:eastAsia="宋体" w:cs="Times New Roman"/>
          <w:sz w:val="28"/>
          <w:szCs w:val="28"/>
        </w:rPr>
        <w:t>文件接收地点：成都市龙泉驿区青台山路222号</w:t>
      </w:r>
    </w:p>
    <w:p w14:paraId="634CE707">
      <w:pPr>
        <w:spacing w:line="360" w:lineRule="auto"/>
        <w:ind w:left="1984" w:leftChars="945"/>
        <w:rPr>
          <w:rFonts w:hint="eastAsia" w:ascii="Times New Roman" w:hAnsi="Times New Roman" w:eastAsia="宋体" w:cs="Times New Roman"/>
          <w:sz w:val="28"/>
          <w:szCs w:val="28"/>
          <w:lang w:eastAsia="zh-CN"/>
        </w:rPr>
      </w:pPr>
      <w:r>
        <w:rPr>
          <w:rFonts w:ascii="Times New Roman" w:hAnsi="Times New Roman" w:eastAsia="宋体" w:cs="Times New Roman"/>
          <w:sz w:val="28"/>
          <w:szCs w:val="28"/>
        </w:rPr>
        <w:t>成都市龙泉驿区中医医院门诊5楼</w:t>
      </w:r>
      <w:r>
        <w:rPr>
          <w:rFonts w:hint="eastAsia" w:ascii="Times New Roman" w:hAnsi="Times New Roman" w:eastAsia="宋体" w:cs="Times New Roman"/>
          <w:sz w:val="28"/>
          <w:szCs w:val="28"/>
          <w:lang w:eastAsia="zh-CN"/>
        </w:rPr>
        <w:t>招标办公室</w:t>
      </w:r>
    </w:p>
    <w:p w14:paraId="4F531233">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联系人：董老师</w:t>
      </w:r>
    </w:p>
    <w:p w14:paraId="77379261">
      <w:pPr>
        <w:spacing w:line="360" w:lineRule="auto"/>
        <w:ind w:firstLine="560" w:firstLineChars="200"/>
        <w:rPr>
          <w:rFonts w:ascii="Times New Roman" w:hAnsi="Times New Roman" w:cs="Times New Roman"/>
          <w:sz w:val="28"/>
          <w:szCs w:val="28"/>
        </w:rPr>
      </w:pPr>
      <w:r>
        <w:rPr>
          <w:rFonts w:ascii="Times New Roman" w:hAnsi="Times New Roman" w:eastAsia="宋体" w:cs="Times New Roman"/>
          <w:sz w:val="28"/>
          <w:szCs w:val="28"/>
        </w:rPr>
        <w:t>联系方式：028-60659207</w:t>
      </w:r>
    </w:p>
    <w:p w14:paraId="550CC2B7">
      <w:pPr>
        <w:spacing w:line="360" w:lineRule="auto"/>
        <w:rPr>
          <w:rFonts w:ascii="Times New Roman" w:hAnsi="Times New Roman" w:cs="Times New Roman"/>
          <w:b/>
          <w:sz w:val="28"/>
          <w:szCs w:val="28"/>
        </w:rPr>
      </w:pPr>
      <w:r>
        <w:rPr>
          <w:rFonts w:ascii="Times New Roman" w:hAnsi="Times New Roman" w:cs="Times New Roman"/>
          <w:b/>
          <w:sz w:val="28"/>
          <w:szCs w:val="28"/>
        </w:rPr>
        <w:t>五、比选时间、地点及方式</w:t>
      </w:r>
    </w:p>
    <w:p w14:paraId="69B116E2">
      <w:pPr>
        <w:spacing w:line="360" w:lineRule="auto"/>
        <w:ind w:firstLine="280" w:firstLineChars="100"/>
        <w:rPr>
          <w:rFonts w:ascii="Times New Roman" w:hAnsi="Times New Roman" w:cs="Times New Roman"/>
          <w:sz w:val="28"/>
          <w:szCs w:val="28"/>
        </w:rPr>
      </w:pPr>
      <w:r>
        <w:rPr>
          <w:rFonts w:ascii="Times New Roman" w:hAnsi="Times New Roman" w:cs="Times New Roman"/>
          <w:sz w:val="28"/>
          <w:szCs w:val="28"/>
        </w:rPr>
        <w:t>比选时间：202</w:t>
      </w:r>
      <w:r>
        <w:rPr>
          <w:rFonts w:hint="eastAsia" w:ascii="Times New Roman" w:hAnsi="Times New Roman" w:cs="Times New Roman"/>
          <w:sz w:val="28"/>
          <w:szCs w:val="28"/>
          <w:lang w:val="en-US" w:eastAsia="zh-CN"/>
        </w:rPr>
        <w:t>5</w:t>
      </w:r>
      <w:r>
        <w:rPr>
          <w:rFonts w:ascii="Times New Roman" w:hAnsi="Times New Roman" w:cs="Times New Roman"/>
          <w:sz w:val="28"/>
          <w:szCs w:val="28"/>
        </w:rPr>
        <w:t>年</w:t>
      </w:r>
      <w:r>
        <w:rPr>
          <w:rFonts w:hint="eastAsia" w:ascii="Times New Roman" w:hAnsi="Times New Roman" w:cs="Times New Roman"/>
          <w:sz w:val="28"/>
          <w:szCs w:val="28"/>
          <w:lang w:val="en-US" w:eastAsia="zh-CN"/>
        </w:rPr>
        <w:t>3</w:t>
      </w:r>
      <w:r>
        <w:rPr>
          <w:rFonts w:ascii="Times New Roman" w:hAnsi="Times New Roman" w:cs="Times New Roman"/>
          <w:sz w:val="28"/>
          <w:szCs w:val="28"/>
        </w:rPr>
        <w:t>月</w:t>
      </w:r>
      <w:r>
        <w:rPr>
          <w:rFonts w:hint="eastAsia" w:ascii="Times New Roman" w:hAnsi="Times New Roman" w:cs="Times New Roman"/>
          <w:sz w:val="28"/>
          <w:szCs w:val="28"/>
          <w:lang w:val="en-US" w:eastAsia="zh-CN"/>
        </w:rPr>
        <w:t>11</w:t>
      </w:r>
      <w:r>
        <w:rPr>
          <w:rFonts w:ascii="Times New Roman" w:hAnsi="Times New Roman" w:cs="Times New Roman"/>
          <w:sz w:val="28"/>
          <w:szCs w:val="28"/>
        </w:rPr>
        <w:t>日</w:t>
      </w:r>
      <w:r>
        <w:rPr>
          <w:rFonts w:hint="eastAsia" w:ascii="Times New Roman" w:hAnsi="Times New Roman" w:cs="Times New Roman"/>
          <w:sz w:val="28"/>
          <w:szCs w:val="28"/>
        </w:rPr>
        <w:t>上</w:t>
      </w:r>
      <w:r>
        <w:rPr>
          <w:rFonts w:ascii="Times New Roman" w:hAnsi="Times New Roman" w:cs="Times New Roman"/>
          <w:sz w:val="28"/>
          <w:szCs w:val="28"/>
        </w:rPr>
        <w:t>午</w:t>
      </w:r>
    </w:p>
    <w:p w14:paraId="7DB4D38F">
      <w:pPr>
        <w:spacing w:line="360" w:lineRule="auto"/>
        <w:ind w:firstLine="280" w:firstLineChars="100"/>
        <w:rPr>
          <w:rFonts w:ascii="Times New Roman" w:hAnsi="Times New Roman" w:cs="Times New Roman"/>
          <w:sz w:val="28"/>
          <w:szCs w:val="28"/>
        </w:rPr>
      </w:pPr>
      <w:r>
        <w:rPr>
          <w:rFonts w:ascii="Times New Roman" w:hAnsi="Times New Roman" w:cs="Times New Roman"/>
          <w:sz w:val="28"/>
          <w:szCs w:val="28"/>
        </w:rPr>
        <w:t>比选地点：成都市龙泉驿区中医医院会议室</w:t>
      </w:r>
    </w:p>
    <w:p w14:paraId="367A052E">
      <w:pPr>
        <w:spacing w:line="360" w:lineRule="auto"/>
        <w:ind w:firstLine="280" w:firstLineChars="100"/>
        <w:rPr>
          <w:rFonts w:hint="eastAsia" w:ascii="Times New Roman" w:hAnsi="Times New Roman" w:cs="Times New Roman" w:eastAsiaTheme="minorEastAsia"/>
          <w:sz w:val="28"/>
          <w:szCs w:val="28"/>
          <w:lang w:eastAsia="zh-CN"/>
        </w:rPr>
      </w:pPr>
      <w:r>
        <w:rPr>
          <w:rFonts w:ascii="Times New Roman" w:hAnsi="Times New Roman" w:cs="Times New Roman"/>
          <w:sz w:val="28"/>
          <w:szCs w:val="28"/>
        </w:rPr>
        <w:t>比选方式：</w:t>
      </w:r>
      <w:r>
        <w:rPr>
          <w:rFonts w:hint="eastAsia" w:ascii="Times New Roman" w:hAnsi="Times New Roman" w:cs="Times New Roman"/>
          <w:sz w:val="28"/>
          <w:szCs w:val="28"/>
          <w:lang w:eastAsia="zh-CN"/>
        </w:rPr>
        <w:t>综合评分法</w:t>
      </w:r>
    </w:p>
    <w:p w14:paraId="65E8A7FC">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第二章 </w:t>
      </w:r>
      <w:r>
        <w:rPr>
          <w:rFonts w:hint="eastAsia" w:ascii="Times New Roman" w:hAnsi="Times New Roman" w:cs="Times New Roman"/>
          <w:b/>
          <w:sz w:val="28"/>
          <w:szCs w:val="28"/>
          <w:lang w:eastAsia="zh-CN"/>
        </w:rPr>
        <w:t>技术</w:t>
      </w:r>
      <w:r>
        <w:rPr>
          <w:rFonts w:ascii="Times New Roman" w:hAnsi="Times New Roman" w:cs="Times New Roman"/>
          <w:b/>
          <w:sz w:val="28"/>
          <w:szCs w:val="28"/>
        </w:rPr>
        <w:t>和</w:t>
      </w:r>
      <w:r>
        <w:rPr>
          <w:rFonts w:hint="eastAsia" w:ascii="Times New Roman" w:hAnsi="Times New Roman" w:cs="Times New Roman"/>
          <w:b/>
          <w:sz w:val="28"/>
          <w:szCs w:val="28"/>
        </w:rPr>
        <w:t>服务</w:t>
      </w:r>
      <w:r>
        <w:rPr>
          <w:rFonts w:ascii="Times New Roman" w:hAnsi="Times New Roman" w:cs="Times New Roman"/>
          <w:b/>
          <w:sz w:val="28"/>
          <w:szCs w:val="28"/>
        </w:rPr>
        <w:t>要求</w:t>
      </w:r>
    </w:p>
    <w:p w14:paraId="06ED3877">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sz w:val="28"/>
          <w:szCs w:val="28"/>
          <w:highlight w:val="none"/>
          <w:lang w:val="en-US" w:eastAsia="zh-CN"/>
        </w:rPr>
      </w:pPr>
      <w:r>
        <w:rPr>
          <w:rFonts w:hint="eastAsia" w:asciiTheme="minorEastAsia" w:hAnsiTheme="minorEastAsia"/>
          <w:sz w:val="28"/>
          <w:szCs w:val="28"/>
          <w:highlight w:val="none"/>
          <w:lang w:val="en-US" w:eastAsia="zh-CN"/>
        </w:rPr>
        <w:t>（一）参数要求（实质性要求）</w:t>
      </w:r>
    </w:p>
    <w:tbl>
      <w:tblPr>
        <w:tblStyle w:val="4"/>
        <w:tblW w:w="9288" w:type="dxa"/>
        <w:tblInd w:w="-3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7121"/>
      </w:tblGrid>
      <w:tr w14:paraId="5A73B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167" w:type="dxa"/>
            <w:noWrap w:val="0"/>
            <w:vAlign w:val="top"/>
          </w:tcPr>
          <w:p w14:paraId="69490288">
            <w:pPr>
              <w:shd w:val="solid" w:color="FFFFFF" w:fill="auto"/>
              <w:autoSpaceDN w:val="0"/>
              <w:spacing w:line="23" w:lineRule="atLeast"/>
              <w:jc w:val="center"/>
              <w:rPr>
                <w:rFonts w:hint="eastAsia" w:ascii="楷体" w:hAnsi="楷体" w:eastAsia="楷体" w:cs="楷体"/>
                <w:b/>
                <w:bCs/>
                <w:sz w:val="28"/>
                <w:szCs w:val="28"/>
              </w:rPr>
            </w:pPr>
            <w:r>
              <w:rPr>
                <w:rFonts w:hint="eastAsia" w:ascii="楷体" w:hAnsi="楷体" w:eastAsia="楷体" w:cs="楷体"/>
                <w:b/>
                <w:bCs/>
                <w:sz w:val="28"/>
                <w:szCs w:val="28"/>
              </w:rPr>
              <w:t>指标项</w:t>
            </w:r>
          </w:p>
        </w:tc>
        <w:tc>
          <w:tcPr>
            <w:tcW w:w="7121" w:type="dxa"/>
            <w:noWrap w:val="0"/>
            <w:vAlign w:val="top"/>
          </w:tcPr>
          <w:p w14:paraId="724BED3F">
            <w:pPr>
              <w:shd w:val="solid" w:color="FFFFFF" w:fill="auto"/>
              <w:autoSpaceDN w:val="0"/>
              <w:spacing w:line="23" w:lineRule="atLeast"/>
              <w:jc w:val="center"/>
              <w:rPr>
                <w:rFonts w:hint="eastAsia" w:ascii="楷体" w:hAnsi="楷体" w:eastAsia="楷体" w:cs="楷体"/>
                <w:b/>
                <w:bCs/>
                <w:sz w:val="28"/>
                <w:szCs w:val="28"/>
              </w:rPr>
            </w:pPr>
            <w:r>
              <w:rPr>
                <w:rFonts w:hint="eastAsia" w:ascii="楷体" w:hAnsi="楷体" w:eastAsia="楷体" w:cs="楷体"/>
                <w:b/>
                <w:bCs/>
                <w:sz w:val="28"/>
                <w:szCs w:val="28"/>
              </w:rPr>
              <w:t>技术参数</w:t>
            </w:r>
          </w:p>
        </w:tc>
      </w:tr>
      <w:tr w14:paraId="0403C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7" w:type="dxa"/>
            <w:noWrap w:val="0"/>
            <w:vAlign w:val="top"/>
          </w:tcPr>
          <w:p w14:paraId="0782A2AE">
            <w:pPr>
              <w:shd w:val="solid" w:color="FFFFFF" w:fill="auto"/>
              <w:autoSpaceDN w:val="0"/>
              <w:spacing w:line="23" w:lineRule="atLeast"/>
              <w:jc w:val="center"/>
              <w:rPr>
                <w:rFonts w:hint="eastAsia" w:ascii="楷体" w:hAnsi="楷体" w:eastAsia="楷体" w:cs="楷体"/>
                <w:sz w:val="28"/>
                <w:szCs w:val="28"/>
              </w:rPr>
            </w:pPr>
            <w:r>
              <w:rPr>
                <w:rFonts w:hint="eastAsia" w:ascii="楷体" w:hAnsi="楷体" w:eastAsia="楷体" w:cs="楷体"/>
                <w:sz w:val="28"/>
                <w:szCs w:val="28"/>
              </w:rPr>
              <w:t>材质类型</w:t>
            </w:r>
          </w:p>
        </w:tc>
        <w:tc>
          <w:tcPr>
            <w:tcW w:w="7121" w:type="dxa"/>
            <w:noWrap w:val="0"/>
            <w:vAlign w:val="top"/>
          </w:tcPr>
          <w:p w14:paraId="73B5F4F3">
            <w:pPr>
              <w:shd w:val="solid" w:color="FFFFFF" w:fill="auto"/>
              <w:autoSpaceDN w:val="0"/>
              <w:spacing w:line="23" w:lineRule="atLeast"/>
              <w:jc w:val="center"/>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热转印硅胶复合型材质</w:t>
            </w:r>
          </w:p>
        </w:tc>
      </w:tr>
      <w:tr w14:paraId="6100B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7" w:type="dxa"/>
            <w:noWrap w:val="0"/>
            <w:vAlign w:val="top"/>
          </w:tcPr>
          <w:p w14:paraId="0EF9814A">
            <w:pPr>
              <w:shd w:val="solid" w:color="FFFFFF" w:fill="auto"/>
              <w:autoSpaceDN w:val="0"/>
              <w:spacing w:line="23" w:lineRule="atLeast"/>
              <w:jc w:val="center"/>
              <w:rPr>
                <w:rFonts w:hint="eastAsia" w:ascii="楷体" w:hAnsi="楷体" w:eastAsia="楷体" w:cs="楷体"/>
                <w:sz w:val="28"/>
                <w:szCs w:val="28"/>
              </w:rPr>
            </w:pPr>
            <w:r>
              <w:rPr>
                <w:rFonts w:hint="eastAsia" w:ascii="楷体" w:hAnsi="楷体" w:eastAsia="楷体" w:cs="楷体"/>
                <w:sz w:val="28"/>
                <w:szCs w:val="28"/>
              </w:rPr>
              <w:t>材质特性</w:t>
            </w:r>
          </w:p>
        </w:tc>
        <w:tc>
          <w:tcPr>
            <w:tcW w:w="7121" w:type="dxa"/>
            <w:noWrap w:val="0"/>
            <w:vAlign w:val="top"/>
          </w:tcPr>
          <w:p w14:paraId="51D31068">
            <w:pPr>
              <w:shd w:val="solid" w:color="FFFFFF" w:fill="auto"/>
              <w:autoSpaceDN w:val="0"/>
              <w:spacing w:line="23" w:lineRule="atLeast"/>
              <w:jc w:val="center"/>
              <w:rPr>
                <w:rFonts w:hint="eastAsia" w:ascii="楷体" w:hAnsi="楷体" w:eastAsia="楷体" w:cs="楷体"/>
                <w:sz w:val="28"/>
                <w:szCs w:val="28"/>
              </w:rPr>
            </w:pPr>
            <w:r>
              <w:rPr>
                <w:rFonts w:hint="eastAsia" w:ascii="楷体" w:hAnsi="楷体" w:eastAsia="楷体" w:cs="楷体"/>
                <w:sz w:val="28"/>
                <w:szCs w:val="28"/>
              </w:rPr>
              <w:t>抗菌工艺，环保无毒</w:t>
            </w:r>
          </w:p>
        </w:tc>
      </w:tr>
      <w:tr w14:paraId="4A72D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7" w:type="dxa"/>
            <w:noWrap w:val="0"/>
            <w:vAlign w:val="top"/>
          </w:tcPr>
          <w:p w14:paraId="4C77D84D">
            <w:pPr>
              <w:shd w:val="solid" w:color="FFFFFF" w:fill="auto"/>
              <w:autoSpaceDN w:val="0"/>
              <w:spacing w:line="23" w:lineRule="atLeast"/>
              <w:jc w:val="center"/>
              <w:rPr>
                <w:rFonts w:hint="eastAsia" w:ascii="楷体" w:hAnsi="楷体" w:eastAsia="楷体" w:cs="楷体"/>
                <w:sz w:val="28"/>
                <w:szCs w:val="28"/>
              </w:rPr>
            </w:pPr>
            <w:r>
              <w:rPr>
                <w:rFonts w:hint="eastAsia" w:ascii="楷体" w:hAnsi="楷体" w:eastAsia="楷体" w:cs="楷体"/>
                <w:sz w:val="28"/>
                <w:szCs w:val="28"/>
              </w:rPr>
              <w:t>打印方式</w:t>
            </w:r>
          </w:p>
        </w:tc>
        <w:tc>
          <w:tcPr>
            <w:tcW w:w="7121" w:type="dxa"/>
            <w:noWrap w:val="0"/>
            <w:vAlign w:val="top"/>
          </w:tcPr>
          <w:p w14:paraId="6CF3D3F9">
            <w:pPr>
              <w:shd w:val="solid" w:color="FFFFFF" w:fill="auto"/>
              <w:autoSpaceDN w:val="0"/>
              <w:spacing w:line="23" w:lineRule="atLeast"/>
              <w:jc w:val="center"/>
              <w:rPr>
                <w:rFonts w:hint="eastAsia" w:ascii="楷体" w:hAnsi="楷体" w:eastAsia="楷体" w:cs="楷体"/>
                <w:sz w:val="28"/>
                <w:szCs w:val="28"/>
                <w:lang w:val="en-US" w:eastAsia="zh-CN"/>
              </w:rPr>
            </w:pPr>
            <w:r>
              <w:rPr>
                <w:rFonts w:hint="eastAsia" w:ascii="楷体" w:hAnsi="楷体" w:eastAsia="楷体" w:cs="楷体"/>
                <w:sz w:val="28"/>
                <w:szCs w:val="28"/>
              </w:rPr>
              <w:t>热</w:t>
            </w:r>
            <w:r>
              <w:rPr>
                <w:rFonts w:hint="eastAsia" w:ascii="楷体" w:hAnsi="楷体" w:eastAsia="楷体" w:cs="楷体"/>
                <w:sz w:val="28"/>
                <w:szCs w:val="28"/>
                <w:lang w:val="en-US" w:eastAsia="zh-CN"/>
              </w:rPr>
              <w:t>转印，配送匹配碳带，碳带不另行收费</w:t>
            </w:r>
          </w:p>
        </w:tc>
      </w:tr>
      <w:tr w14:paraId="35D9D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7" w:type="dxa"/>
            <w:noWrap w:val="0"/>
            <w:vAlign w:val="top"/>
          </w:tcPr>
          <w:p w14:paraId="6ED6C9A5">
            <w:pPr>
              <w:shd w:val="solid" w:color="FFFFFF" w:fill="auto"/>
              <w:autoSpaceDN w:val="0"/>
              <w:spacing w:line="23" w:lineRule="atLeast"/>
              <w:jc w:val="center"/>
              <w:rPr>
                <w:rFonts w:hint="eastAsia" w:ascii="楷体" w:hAnsi="楷体" w:eastAsia="楷体" w:cs="楷体"/>
                <w:sz w:val="28"/>
                <w:szCs w:val="28"/>
                <w:lang w:eastAsia="zh-CN"/>
              </w:rPr>
            </w:pPr>
            <w:r>
              <w:rPr>
                <w:rFonts w:hint="eastAsia" w:ascii="楷体" w:hAnsi="楷体" w:eastAsia="楷体" w:cs="楷体"/>
                <w:sz w:val="28"/>
                <w:szCs w:val="28"/>
                <w:lang w:eastAsia="zh-CN"/>
              </w:rPr>
              <w:t>尺寸</w:t>
            </w:r>
          </w:p>
        </w:tc>
        <w:tc>
          <w:tcPr>
            <w:tcW w:w="7121" w:type="dxa"/>
            <w:noWrap w:val="0"/>
            <w:vAlign w:val="top"/>
          </w:tcPr>
          <w:p w14:paraId="2E68A672">
            <w:pPr>
              <w:shd w:val="solid" w:color="FFFFFF" w:fill="auto"/>
              <w:autoSpaceDN w:val="0"/>
              <w:spacing w:line="23" w:lineRule="atLeast"/>
              <w:jc w:val="left"/>
              <w:rPr>
                <w:rFonts w:hint="default" w:ascii="楷体" w:hAnsi="楷体" w:eastAsia="楷体" w:cs="楷体"/>
                <w:sz w:val="28"/>
                <w:szCs w:val="28"/>
                <w:lang w:val="en-US" w:eastAsia="zh-CN"/>
              </w:rPr>
            </w:pPr>
            <w:r>
              <w:rPr>
                <w:rFonts w:hint="default" w:ascii="楷体" w:hAnsi="楷体" w:eastAsia="楷体" w:cs="楷体"/>
                <w:sz w:val="28"/>
                <w:szCs w:val="28"/>
                <w:lang w:val="en-US" w:eastAsia="zh-CN"/>
              </w:rPr>
              <w:t>成人：</w:t>
            </w:r>
            <w:r>
              <w:rPr>
                <w:rFonts w:hint="eastAsia" w:ascii="楷体" w:hAnsi="楷体" w:eastAsia="楷体" w:cs="楷体"/>
                <w:sz w:val="28"/>
                <w:szCs w:val="28"/>
                <w:lang w:val="en-US" w:eastAsia="zh-CN"/>
              </w:rPr>
              <w:t>280*30</w:t>
            </w:r>
            <w:r>
              <w:rPr>
                <w:rFonts w:hint="default" w:ascii="楷体" w:hAnsi="楷体" w:eastAsia="楷体" w:cs="楷体"/>
                <w:sz w:val="28"/>
                <w:szCs w:val="28"/>
                <w:lang w:val="en-US" w:eastAsia="zh-CN"/>
              </w:rPr>
              <w:t>mm</w:t>
            </w:r>
            <w:r>
              <w:rPr>
                <w:rFonts w:hint="eastAsia" w:ascii="楷体" w:hAnsi="楷体" w:eastAsia="楷体" w:cs="楷体"/>
                <w:sz w:val="28"/>
                <w:szCs w:val="28"/>
                <w:lang w:val="en-US" w:eastAsia="zh-CN"/>
              </w:rPr>
              <w:t>±3mm</w:t>
            </w:r>
            <w:r>
              <w:rPr>
                <w:rFonts w:hint="default" w:ascii="楷体" w:hAnsi="楷体" w:eastAsia="楷体" w:cs="楷体"/>
                <w:sz w:val="28"/>
                <w:szCs w:val="28"/>
                <w:lang w:val="en-US" w:eastAsia="zh-CN"/>
              </w:rPr>
              <w:t>，腕带净长度：2</w:t>
            </w:r>
            <w:r>
              <w:rPr>
                <w:rFonts w:hint="eastAsia" w:ascii="楷体" w:hAnsi="楷体" w:eastAsia="楷体" w:cs="楷体"/>
                <w:sz w:val="28"/>
                <w:szCs w:val="28"/>
                <w:lang w:val="en-US" w:eastAsia="zh-CN"/>
              </w:rPr>
              <w:t>70</w:t>
            </w:r>
            <w:r>
              <w:rPr>
                <w:rFonts w:hint="default" w:ascii="楷体" w:hAnsi="楷体" w:eastAsia="楷体" w:cs="楷体"/>
                <w:sz w:val="28"/>
                <w:szCs w:val="28"/>
                <w:lang w:val="en-US" w:eastAsia="zh-CN"/>
              </w:rPr>
              <w:t>mm</w:t>
            </w:r>
            <w:r>
              <w:rPr>
                <w:rFonts w:hint="eastAsia" w:ascii="楷体" w:hAnsi="楷体" w:eastAsia="楷体" w:cs="楷体"/>
                <w:sz w:val="28"/>
                <w:szCs w:val="28"/>
                <w:lang w:val="en-US" w:eastAsia="zh-CN"/>
              </w:rPr>
              <w:t>±3mm</w:t>
            </w:r>
            <w:r>
              <w:rPr>
                <w:rFonts w:hint="default" w:ascii="楷体" w:hAnsi="楷体" w:eastAsia="楷体" w:cs="楷体"/>
                <w:sz w:val="28"/>
                <w:szCs w:val="28"/>
                <w:lang w:val="en-US" w:eastAsia="zh-CN"/>
              </w:rPr>
              <w:t>，打印区域</w:t>
            </w:r>
            <w:r>
              <w:rPr>
                <w:rFonts w:hint="eastAsia" w:ascii="楷体" w:hAnsi="楷体" w:eastAsia="楷体" w:cs="楷体"/>
                <w:sz w:val="28"/>
                <w:szCs w:val="28"/>
                <w:lang w:val="en-US" w:eastAsia="zh-CN"/>
              </w:rPr>
              <w:t>≥85</w:t>
            </w:r>
            <w:r>
              <w:rPr>
                <w:rFonts w:hint="default" w:ascii="楷体" w:hAnsi="楷体" w:eastAsia="楷体" w:cs="楷体"/>
                <w:sz w:val="28"/>
                <w:szCs w:val="28"/>
                <w:lang w:val="en-US" w:eastAsia="zh-CN"/>
              </w:rPr>
              <w:t>×2</w:t>
            </w:r>
            <w:r>
              <w:rPr>
                <w:rFonts w:hint="eastAsia" w:ascii="楷体" w:hAnsi="楷体" w:eastAsia="楷体" w:cs="楷体"/>
                <w:sz w:val="28"/>
                <w:szCs w:val="28"/>
                <w:lang w:val="en-US" w:eastAsia="zh-CN"/>
              </w:rPr>
              <w:t>0</w:t>
            </w:r>
            <w:r>
              <w:rPr>
                <w:rFonts w:hint="default" w:ascii="楷体" w:hAnsi="楷体" w:eastAsia="楷体" w:cs="楷体"/>
                <w:sz w:val="28"/>
                <w:szCs w:val="28"/>
                <w:lang w:val="en-US" w:eastAsia="zh-CN"/>
              </w:rPr>
              <w:t>mm.</w:t>
            </w:r>
          </w:p>
          <w:p w14:paraId="5345667C">
            <w:pPr>
              <w:shd w:val="solid" w:color="FFFFFF" w:fill="auto"/>
              <w:autoSpaceDN w:val="0"/>
              <w:spacing w:line="23" w:lineRule="atLeast"/>
              <w:jc w:val="left"/>
              <w:rPr>
                <w:rFonts w:hint="default" w:ascii="楷体" w:hAnsi="楷体" w:eastAsia="楷体" w:cs="楷体"/>
                <w:sz w:val="28"/>
                <w:szCs w:val="28"/>
                <w:lang w:val="en-US" w:eastAsia="zh-CN"/>
              </w:rPr>
            </w:pPr>
          </w:p>
        </w:tc>
      </w:tr>
      <w:tr w14:paraId="2F461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7" w:type="dxa"/>
            <w:noWrap w:val="0"/>
            <w:vAlign w:val="top"/>
          </w:tcPr>
          <w:p w14:paraId="57B780E8">
            <w:pPr>
              <w:shd w:val="solid" w:color="FFFFFF" w:fill="auto"/>
              <w:autoSpaceDN w:val="0"/>
              <w:spacing w:line="23" w:lineRule="atLeast"/>
              <w:jc w:val="center"/>
              <w:rPr>
                <w:rFonts w:hint="default" w:ascii="楷体" w:hAnsi="楷体" w:eastAsia="楷体" w:cs="楷体"/>
                <w:sz w:val="28"/>
                <w:szCs w:val="28"/>
                <w:lang w:val="en-US" w:eastAsia="zh-CN"/>
              </w:rPr>
            </w:pPr>
            <w:r>
              <w:rPr>
                <w:rFonts w:hint="eastAsia" w:ascii="楷体" w:hAnsi="楷体" w:eastAsia="楷体" w:cs="楷体"/>
                <w:sz w:val="28"/>
                <w:szCs w:val="28"/>
              </w:rPr>
              <w:t>打印内容</w:t>
            </w:r>
          </w:p>
        </w:tc>
        <w:tc>
          <w:tcPr>
            <w:tcW w:w="7121" w:type="dxa"/>
            <w:noWrap w:val="0"/>
            <w:vAlign w:val="top"/>
          </w:tcPr>
          <w:p w14:paraId="6688C510">
            <w:pPr>
              <w:shd w:val="solid" w:color="FFFFFF" w:fill="auto"/>
              <w:autoSpaceDN w:val="0"/>
              <w:spacing w:line="23" w:lineRule="atLeast"/>
              <w:ind w:firstLine="1960" w:firstLineChars="700"/>
              <w:jc w:val="left"/>
              <w:rPr>
                <w:rFonts w:hint="eastAsia" w:ascii="楷体" w:hAnsi="楷体" w:eastAsia="楷体" w:cs="楷体"/>
                <w:sz w:val="28"/>
                <w:szCs w:val="28"/>
              </w:rPr>
            </w:pPr>
            <w:r>
              <w:rPr>
                <w:rFonts w:hint="eastAsia" w:ascii="楷体" w:hAnsi="楷体" w:eastAsia="楷体" w:cs="楷体"/>
                <w:sz w:val="28"/>
                <w:szCs w:val="28"/>
              </w:rPr>
              <w:t>文字、一维码、二维码</w:t>
            </w:r>
          </w:p>
        </w:tc>
      </w:tr>
      <w:tr w14:paraId="070C5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2167" w:type="dxa"/>
            <w:noWrap w:val="0"/>
            <w:vAlign w:val="center"/>
          </w:tcPr>
          <w:p w14:paraId="48737AD3">
            <w:pPr>
              <w:shd w:val="solid" w:color="FFFFFF" w:fill="auto"/>
              <w:autoSpaceDN w:val="0"/>
              <w:spacing w:line="23" w:lineRule="atLeast"/>
              <w:ind w:firstLine="560" w:firstLineChars="200"/>
              <w:jc w:val="both"/>
              <w:rPr>
                <w:rFonts w:hint="eastAsia" w:ascii="楷体" w:hAnsi="楷体" w:eastAsia="楷体" w:cs="楷体"/>
                <w:kern w:val="2"/>
                <w:sz w:val="28"/>
                <w:szCs w:val="28"/>
                <w:highlight w:val="none"/>
                <w:lang w:val="en-US" w:eastAsia="zh-CN" w:bidi="ar-SA"/>
              </w:rPr>
            </w:pPr>
            <w:r>
              <w:rPr>
                <w:rFonts w:hint="eastAsia" w:ascii="楷体" w:hAnsi="楷体" w:eastAsia="楷体" w:cs="楷体"/>
                <w:sz w:val="28"/>
                <w:szCs w:val="28"/>
                <w:highlight w:val="none"/>
                <w:lang w:val="en-US" w:eastAsia="zh-CN"/>
              </w:rPr>
              <w:t>排孔</w:t>
            </w:r>
          </w:p>
        </w:tc>
        <w:tc>
          <w:tcPr>
            <w:tcW w:w="7121" w:type="dxa"/>
            <w:noWrap w:val="0"/>
            <w:vAlign w:val="center"/>
          </w:tcPr>
          <w:p w14:paraId="1FBA36C1">
            <w:pPr>
              <w:shd w:val="solid" w:color="FFFFFF" w:fill="auto"/>
              <w:autoSpaceDN w:val="0"/>
              <w:spacing w:line="23" w:lineRule="atLeast"/>
              <w:jc w:val="center"/>
              <w:rPr>
                <w:rFonts w:hint="eastAsia" w:ascii="楷体" w:hAnsi="楷体" w:eastAsia="楷体" w:cs="楷体"/>
                <w:kern w:val="2"/>
                <w:sz w:val="28"/>
                <w:szCs w:val="28"/>
                <w:highlight w:val="none"/>
                <w:lang w:val="en-US" w:eastAsia="zh-CN" w:bidi="ar-SA"/>
              </w:rPr>
            </w:pPr>
            <w:r>
              <w:rPr>
                <w:rFonts w:hint="eastAsia" w:ascii="楷体" w:hAnsi="楷体" w:eastAsia="楷体" w:cs="楷体"/>
                <w:sz w:val="28"/>
                <w:szCs w:val="28"/>
                <w:highlight w:val="none"/>
                <w:lang w:val="en-US" w:eastAsia="zh-CN"/>
              </w:rPr>
              <w:t>成人腕带前段≥2个</w:t>
            </w:r>
            <w:r>
              <w:rPr>
                <w:rFonts w:hint="eastAsia" w:ascii="楷体" w:hAnsi="楷体" w:eastAsia="楷体" w:cs="楷体"/>
                <w:sz w:val="28"/>
                <w:szCs w:val="28"/>
                <w:highlight w:val="none"/>
              </w:rPr>
              <w:t>纽扣孔，尾端</w:t>
            </w:r>
            <w:r>
              <w:rPr>
                <w:rFonts w:hint="eastAsia" w:ascii="楷体" w:hAnsi="楷体" w:eastAsia="楷体" w:cs="楷体"/>
                <w:sz w:val="28"/>
                <w:szCs w:val="28"/>
                <w:highlight w:val="none"/>
                <w:lang w:eastAsia="zh-CN"/>
              </w:rPr>
              <w:t>≥</w:t>
            </w:r>
            <w:r>
              <w:rPr>
                <w:rFonts w:hint="eastAsia" w:ascii="楷体" w:hAnsi="楷体" w:eastAsia="楷体" w:cs="楷体"/>
                <w:sz w:val="28"/>
                <w:szCs w:val="28"/>
                <w:highlight w:val="none"/>
                <w:lang w:val="en-US" w:eastAsia="zh-CN"/>
              </w:rPr>
              <w:t>11</w:t>
            </w:r>
            <w:r>
              <w:rPr>
                <w:rFonts w:hint="eastAsia" w:ascii="楷体" w:hAnsi="楷体" w:eastAsia="楷体" w:cs="楷体"/>
                <w:sz w:val="28"/>
                <w:szCs w:val="28"/>
                <w:highlight w:val="none"/>
              </w:rPr>
              <w:t>个纽扣孔。</w:t>
            </w:r>
          </w:p>
        </w:tc>
      </w:tr>
      <w:tr w14:paraId="2840E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2167" w:type="dxa"/>
            <w:noWrap w:val="0"/>
            <w:vAlign w:val="top"/>
          </w:tcPr>
          <w:p w14:paraId="395B8D25">
            <w:pPr>
              <w:shd w:val="solid" w:color="FFFFFF" w:fill="auto"/>
              <w:autoSpaceDN w:val="0"/>
              <w:spacing w:line="23" w:lineRule="atLeast"/>
              <w:jc w:val="center"/>
              <w:rPr>
                <w:rFonts w:hint="eastAsia" w:ascii="楷体" w:hAnsi="楷体" w:eastAsia="楷体" w:cs="楷体"/>
                <w:kern w:val="2"/>
                <w:sz w:val="28"/>
                <w:szCs w:val="28"/>
                <w:highlight w:val="none"/>
                <w:lang w:val="en-US" w:eastAsia="zh-CN" w:bidi="ar-SA"/>
              </w:rPr>
            </w:pPr>
            <w:r>
              <w:rPr>
                <w:rFonts w:hint="eastAsia" w:ascii="楷体" w:hAnsi="楷体" w:eastAsia="楷体" w:cs="楷体"/>
                <w:kern w:val="2"/>
                <w:sz w:val="28"/>
                <w:szCs w:val="28"/>
                <w:highlight w:val="none"/>
                <w:lang w:val="en-US" w:eastAsia="zh-CN" w:bidi="ar-SA"/>
              </w:rPr>
              <w:t>腕带孔要求</w:t>
            </w:r>
          </w:p>
        </w:tc>
        <w:tc>
          <w:tcPr>
            <w:tcW w:w="7121" w:type="dxa"/>
            <w:noWrap w:val="0"/>
            <w:vAlign w:val="top"/>
          </w:tcPr>
          <w:p w14:paraId="02B8709B">
            <w:pPr>
              <w:shd w:val="solid" w:color="FFFFFF" w:fill="auto"/>
              <w:autoSpaceDN w:val="0"/>
              <w:spacing w:line="23" w:lineRule="atLeast"/>
              <w:jc w:val="left"/>
              <w:rPr>
                <w:rFonts w:hint="eastAsia" w:ascii="楷体" w:hAnsi="楷体" w:eastAsia="楷体" w:cs="楷体"/>
                <w:kern w:val="2"/>
                <w:sz w:val="28"/>
                <w:szCs w:val="28"/>
                <w:highlight w:val="none"/>
                <w:lang w:val="en-US" w:eastAsia="zh-CN" w:bidi="ar-SA"/>
              </w:rPr>
            </w:pPr>
            <w:r>
              <w:rPr>
                <w:rFonts w:hint="eastAsia" w:ascii="楷体" w:hAnsi="楷体" w:eastAsia="楷体" w:cs="楷体"/>
                <w:sz w:val="28"/>
                <w:szCs w:val="28"/>
                <w:highlight w:val="none"/>
              </w:rPr>
              <w:t>腕带孔</w:t>
            </w:r>
            <w:r>
              <w:rPr>
                <w:rFonts w:hint="eastAsia" w:ascii="楷体" w:hAnsi="楷体" w:eastAsia="楷体" w:cs="楷体"/>
                <w:sz w:val="28"/>
                <w:szCs w:val="28"/>
                <w:highlight w:val="none"/>
                <w:lang w:val="en-US" w:eastAsia="zh-CN"/>
              </w:rPr>
              <w:t>必须为圆孔，无</w:t>
            </w:r>
            <w:r>
              <w:rPr>
                <w:rFonts w:hint="eastAsia" w:ascii="楷体" w:hAnsi="楷体" w:eastAsia="楷体" w:cs="楷体"/>
                <w:sz w:val="28"/>
                <w:szCs w:val="28"/>
                <w:highlight w:val="none"/>
              </w:rPr>
              <w:t>废料粘连，孔边缘光滑无过重粗糙感</w:t>
            </w:r>
          </w:p>
        </w:tc>
      </w:tr>
      <w:tr w14:paraId="4C5B2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4" w:hRule="atLeast"/>
        </w:trPr>
        <w:tc>
          <w:tcPr>
            <w:tcW w:w="2167" w:type="dxa"/>
            <w:noWrap w:val="0"/>
            <w:vAlign w:val="top"/>
          </w:tcPr>
          <w:p w14:paraId="3BEAEA21">
            <w:pPr>
              <w:shd w:val="solid" w:color="FFFFFF" w:fill="auto"/>
              <w:autoSpaceDN w:val="0"/>
              <w:spacing w:line="23" w:lineRule="atLeast"/>
              <w:jc w:val="center"/>
              <w:rPr>
                <w:rFonts w:hint="eastAsia" w:ascii="楷体" w:hAnsi="楷体" w:eastAsia="楷体" w:cs="楷体"/>
                <w:sz w:val="28"/>
                <w:szCs w:val="28"/>
              </w:rPr>
            </w:pPr>
            <w:r>
              <w:rPr>
                <w:rFonts w:hint="eastAsia" w:ascii="楷体" w:hAnsi="楷体" w:eastAsia="楷体" w:cs="楷体"/>
                <w:sz w:val="28"/>
                <w:szCs w:val="28"/>
              </w:rPr>
              <w:t>腕带权威认证</w:t>
            </w:r>
          </w:p>
        </w:tc>
        <w:tc>
          <w:tcPr>
            <w:tcW w:w="7121" w:type="dxa"/>
            <w:noWrap w:val="0"/>
            <w:vAlign w:val="top"/>
          </w:tcPr>
          <w:p w14:paraId="2A44F11C">
            <w:pPr>
              <w:shd w:val="solid" w:color="FFFFFF" w:fill="auto"/>
              <w:autoSpaceDN w:val="0"/>
              <w:spacing w:line="23" w:lineRule="atLeast"/>
              <w:jc w:val="left"/>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柔软舒适，耐磨、抗腐蚀，防水、防酒精,ISO质量体系认证书、腕带皮肤致敏检测合格报告、腕带微生物检测合格报告。</w:t>
            </w:r>
          </w:p>
        </w:tc>
      </w:tr>
      <w:tr w14:paraId="14650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7" w:type="dxa"/>
            <w:noWrap w:val="0"/>
            <w:vAlign w:val="top"/>
          </w:tcPr>
          <w:p w14:paraId="7D76598A">
            <w:pPr>
              <w:shd w:val="solid" w:color="FFFFFF" w:fill="auto"/>
              <w:autoSpaceDN w:val="0"/>
              <w:spacing w:line="23" w:lineRule="atLeast"/>
              <w:jc w:val="center"/>
              <w:rPr>
                <w:rFonts w:hint="eastAsia" w:ascii="楷体" w:hAnsi="楷体" w:eastAsia="楷体" w:cs="楷体"/>
                <w:sz w:val="28"/>
                <w:szCs w:val="28"/>
              </w:rPr>
            </w:pPr>
            <w:r>
              <w:rPr>
                <w:rFonts w:hint="eastAsia" w:ascii="楷体" w:hAnsi="楷体" w:eastAsia="楷体" w:cs="楷体"/>
                <w:sz w:val="28"/>
                <w:szCs w:val="28"/>
              </w:rPr>
              <w:t>佩戴方式</w:t>
            </w:r>
          </w:p>
        </w:tc>
        <w:tc>
          <w:tcPr>
            <w:tcW w:w="7121" w:type="dxa"/>
            <w:noWrap w:val="0"/>
            <w:vAlign w:val="top"/>
          </w:tcPr>
          <w:p w14:paraId="3939B9B4">
            <w:pPr>
              <w:shd w:val="solid" w:color="FFFFFF" w:fill="auto"/>
              <w:autoSpaceDN w:val="0"/>
              <w:spacing w:line="23" w:lineRule="atLeast"/>
              <w:jc w:val="center"/>
              <w:rPr>
                <w:rFonts w:hint="eastAsia" w:ascii="楷体" w:hAnsi="楷体" w:eastAsia="楷体" w:cs="楷体"/>
                <w:sz w:val="28"/>
                <w:szCs w:val="28"/>
                <w:lang w:eastAsia="zh-CN"/>
              </w:rPr>
            </w:pPr>
            <w:r>
              <w:rPr>
                <w:rFonts w:hint="eastAsia" w:ascii="楷体" w:hAnsi="楷体" w:eastAsia="楷体" w:cs="楷体"/>
                <w:sz w:val="28"/>
                <w:szCs w:val="28"/>
              </w:rPr>
              <w:t>锁扣型，一次性使用，不可拆卸</w:t>
            </w:r>
            <w:r>
              <w:rPr>
                <w:rFonts w:hint="eastAsia" w:ascii="楷体" w:hAnsi="楷体" w:eastAsia="楷体" w:cs="楷体"/>
                <w:sz w:val="28"/>
                <w:szCs w:val="28"/>
                <w:lang w:eastAsia="zh-CN"/>
              </w:rPr>
              <w:t>，配送匹配纽扣，纽扣不另行收费</w:t>
            </w:r>
          </w:p>
        </w:tc>
      </w:tr>
      <w:tr w14:paraId="16F2D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167" w:type="dxa"/>
            <w:noWrap w:val="0"/>
            <w:vAlign w:val="top"/>
          </w:tcPr>
          <w:p w14:paraId="5D3D0FE5">
            <w:pPr>
              <w:shd w:val="solid" w:color="FFFFFF" w:fill="auto"/>
              <w:autoSpaceDN w:val="0"/>
              <w:spacing w:line="23" w:lineRule="atLeast"/>
              <w:ind w:firstLine="560" w:firstLineChars="200"/>
              <w:jc w:val="both"/>
              <w:rPr>
                <w:rFonts w:hint="eastAsia" w:ascii="楷体" w:hAnsi="楷体" w:eastAsia="楷体" w:cs="楷体"/>
                <w:sz w:val="28"/>
                <w:szCs w:val="28"/>
              </w:rPr>
            </w:pPr>
            <w:r>
              <w:rPr>
                <w:rFonts w:hint="eastAsia" w:ascii="楷体" w:hAnsi="楷体" w:eastAsia="楷体" w:cs="楷体"/>
                <w:sz w:val="28"/>
                <w:szCs w:val="28"/>
                <w:lang w:val="en-US" w:eastAsia="zh-CN"/>
              </w:rPr>
              <w:t>腕带</w:t>
            </w:r>
            <w:r>
              <w:rPr>
                <w:rFonts w:hint="eastAsia" w:ascii="楷体" w:hAnsi="楷体" w:eastAsia="楷体" w:cs="楷体"/>
                <w:sz w:val="28"/>
                <w:szCs w:val="28"/>
              </w:rPr>
              <w:t>颜色</w:t>
            </w:r>
          </w:p>
        </w:tc>
        <w:tc>
          <w:tcPr>
            <w:tcW w:w="7121" w:type="dxa"/>
            <w:noWrap w:val="0"/>
            <w:vAlign w:val="top"/>
          </w:tcPr>
          <w:p w14:paraId="490803F7">
            <w:pPr>
              <w:shd w:val="solid" w:color="FFFFFF" w:fill="auto"/>
              <w:autoSpaceDN w:val="0"/>
              <w:spacing w:line="23" w:lineRule="atLeast"/>
              <w:jc w:val="center"/>
              <w:rPr>
                <w:rFonts w:hint="eastAsia" w:ascii="楷体" w:hAnsi="楷体" w:eastAsia="楷体" w:cs="楷体"/>
                <w:sz w:val="28"/>
                <w:szCs w:val="28"/>
              </w:rPr>
            </w:pPr>
            <w:r>
              <w:rPr>
                <w:rFonts w:hint="eastAsia" w:ascii="楷体" w:hAnsi="楷体" w:eastAsia="楷体" w:cs="楷体"/>
                <w:sz w:val="28"/>
                <w:szCs w:val="28"/>
              </w:rPr>
              <w:t>正蓝色/天蓝色/粉红色</w:t>
            </w:r>
            <w:r>
              <w:rPr>
                <w:rFonts w:hint="eastAsia" w:ascii="楷体" w:hAnsi="楷体" w:eastAsia="楷体" w:cs="楷体"/>
                <w:sz w:val="28"/>
                <w:szCs w:val="28"/>
                <w:lang w:val="en-US" w:eastAsia="zh-CN"/>
              </w:rPr>
              <w:t>/明黄/绿色...</w:t>
            </w:r>
            <w:r>
              <w:rPr>
                <w:rFonts w:hint="eastAsia" w:ascii="楷体" w:hAnsi="楷体" w:eastAsia="楷体" w:cs="楷体"/>
                <w:sz w:val="28"/>
                <w:szCs w:val="28"/>
              </w:rPr>
              <w:t>（打印区域白色）</w:t>
            </w:r>
          </w:p>
          <w:p w14:paraId="49D758F7">
            <w:pPr>
              <w:shd w:val="solid" w:color="FFFFFF" w:fill="auto"/>
              <w:autoSpaceDN w:val="0"/>
              <w:spacing w:line="23" w:lineRule="atLeast"/>
              <w:jc w:val="center"/>
              <w:rPr>
                <w:rFonts w:hint="eastAsia" w:ascii="楷体" w:hAnsi="楷体" w:eastAsia="楷体" w:cs="楷体"/>
                <w:sz w:val="28"/>
                <w:szCs w:val="28"/>
              </w:rPr>
            </w:pPr>
          </w:p>
        </w:tc>
      </w:tr>
      <w:tr w14:paraId="64CDE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7" w:type="dxa"/>
            <w:noWrap w:val="0"/>
            <w:vAlign w:val="center"/>
          </w:tcPr>
          <w:p w14:paraId="7168F641">
            <w:pPr>
              <w:shd w:val="solid" w:color="FFFFFF" w:fill="auto"/>
              <w:autoSpaceDN w:val="0"/>
              <w:spacing w:line="23" w:lineRule="atLeast"/>
              <w:jc w:val="center"/>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纽扣颜色</w:t>
            </w:r>
          </w:p>
        </w:tc>
        <w:tc>
          <w:tcPr>
            <w:tcW w:w="7121" w:type="dxa"/>
            <w:noWrap w:val="0"/>
            <w:vAlign w:val="top"/>
          </w:tcPr>
          <w:p w14:paraId="7C58C3C1">
            <w:pPr>
              <w:shd w:val="solid" w:color="FFFFFF" w:fill="auto"/>
              <w:autoSpaceDN w:val="0"/>
              <w:spacing w:line="23" w:lineRule="atLeast"/>
              <w:jc w:val="center"/>
              <w:rPr>
                <w:rFonts w:hint="eastAsia" w:ascii="楷体" w:hAnsi="楷体" w:eastAsia="楷体" w:cs="楷体"/>
                <w:sz w:val="28"/>
                <w:szCs w:val="28"/>
              </w:rPr>
            </w:pPr>
            <w:r>
              <w:rPr>
                <w:rFonts w:hint="eastAsia" w:ascii="楷体" w:hAnsi="楷体" w:eastAsia="楷体" w:cs="楷体"/>
                <w:sz w:val="28"/>
                <w:szCs w:val="28"/>
                <w:lang w:val="en-US" w:eastAsia="zh-CN"/>
              </w:rPr>
              <w:t>红/蓝/粉/白/橙等</w:t>
            </w:r>
            <w:r>
              <w:rPr>
                <w:rFonts w:hint="eastAsia" w:ascii="楷体" w:hAnsi="楷体" w:eastAsia="楷体" w:cs="楷体"/>
                <w:sz w:val="28"/>
                <w:szCs w:val="28"/>
              </w:rPr>
              <w:t>；</w:t>
            </w:r>
          </w:p>
        </w:tc>
      </w:tr>
    </w:tbl>
    <w:p w14:paraId="30A34F0D">
      <w:pPr>
        <w:keepNext w:val="0"/>
        <w:keepLines w:val="0"/>
        <w:pageBreakBefore w:val="0"/>
        <w:numPr>
          <w:ilvl w:val="0"/>
          <w:numId w:val="1"/>
        </w:numPr>
        <w:kinsoku/>
        <w:wordWrap/>
        <w:overflowPunct/>
        <w:topLinePunct w:val="0"/>
        <w:autoSpaceDE/>
        <w:autoSpaceDN/>
        <w:bidi w:val="0"/>
        <w:adjustRightInd/>
        <w:snapToGrid/>
        <w:spacing w:line="360" w:lineRule="auto"/>
        <w:jc w:val="left"/>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服务要求</w:t>
      </w:r>
    </w:p>
    <w:p w14:paraId="353846C6">
      <w:pPr>
        <w:numPr>
          <w:ilvl w:val="0"/>
          <w:numId w:val="2"/>
        </w:numP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服务期限：本项目服务期限两年，合同一年一签。</w:t>
      </w:r>
    </w:p>
    <w:p w14:paraId="026340D5">
      <w:pPr>
        <w:numPr>
          <w:ilvl w:val="0"/>
          <w:numId w:val="2"/>
        </w:numP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服务地点：采购人指定地点。</w:t>
      </w:r>
    </w:p>
    <w:p w14:paraId="42B1A3CC">
      <w:pPr>
        <w:numPr>
          <w:ilvl w:val="0"/>
          <w:numId w:val="0"/>
        </w:numPr>
        <w:spacing w:line="360" w:lineRule="auto"/>
        <w:ind w:leftChars="0"/>
        <w:rPr>
          <w:rFonts w:hint="default" w:ascii="Times New Roman" w:hAnsi="Times New Roman" w:eastAsia="方正仿宋_GBK" w:cs="Times New Roman"/>
          <w:bCs/>
          <w:sz w:val="28"/>
          <w:szCs w:val="28"/>
        </w:rPr>
      </w:pPr>
      <w:r>
        <w:rPr>
          <w:rFonts w:hint="default" w:ascii="Times New Roman" w:hAnsi="Times New Roman" w:eastAsia="方正仿宋_GBK" w:cs="Times New Roman"/>
          <w:sz w:val="28"/>
          <w:szCs w:val="28"/>
          <w:lang w:val="en-US" w:eastAsia="zh-CN"/>
        </w:rPr>
        <w:t>3.付款方式：</w:t>
      </w:r>
      <w:r>
        <w:rPr>
          <w:rFonts w:hint="default" w:ascii="Times New Roman" w:hAnsi="Times New Roman" w:eastAsia="方正仿宋_GBK" w:cs="Times New Roman"/>
          <w:sz w:val="28"/>
          <w:szCs w:val="28"/>
        </w:rPr>
        <w:t>按</w:t>
      </w:r>
      <w:r>
        <w:rPr>
          <w:rFonts w:hint="default" w:ascii="Times New Roman" w:hAnsi="Times New Roman" w:eastAsia="方正仿宋_GBK" w:cs="Times New Roman"/>
          <w:sz w:val="28"/>
          <w:szCs w:val="28"/>
          <w:lang w:eastAsia="zh-CN"/>
        </w:rPr>
        <w:t>月据</w:t>
      </w:r>
      <w:r>
        <w:rPr>
          <w:rFonts w:hint="default" w:ascii="Times New Roman" w:hAnsi="Times New Roman" w:eastAsia="方正仿宋_GBK" w:cs="Times New Roman"/>
          <w:sz w:val="28"/>
          <w:szCs w:val="28"/>
        </w:rPr>
        <w:t>实结算（根据当</w:t>
      </w:r>
      <w:r>
        <w:rPr>
          <w:rFonts w:hint="default" w:ascii="Times New Roman" w:hAnsi="Times New Roman" w:eastAsia="方正仿宋_GBK" w:cs="Times New Roman"/>
          <w:sz w:val="28"/>
          <w:szCs w:val="28"/>
          <w:lang w:eastAsia="zh-CN"/>
        </w:rPr>
        <w:t>季度</w:t>
      </w:r>
      <w:r>
        <w:rPr>
          <w:rFonts w:hint="default" w:ascii="Times New Roman" w:hAnsi="Times New Roman" w:eastAsia="方正仿宋_GBK" w:cs="Times New Roman"/>
          <w:sz w:val="28"/>
          <w:szCs w:val="28"/>
        </w:rPr>
        <w:t>实际供货数量×中标供应商</w:t>
      </w:r>
      <w:r>
        <w:rPr>
          <w:rFonts w:hint="default" w:ascii="Times New Roman" w:hAnsi="Times New Roman" w:eastAsia="方正仿宋_GBK" w:cs="Times New Roman"/>
          <w:sz w:val="28"/>
          <w:szCs w:val="28"/>
          <w:lang w:eastAsia="zh-CN"/>
        </w:rPr>
        <w:t>中</w:t>
      </w:r>
      <w:r>
        <w:rPr>
          <w:rFonts w:hint="default" w:ascii="Times New Roman" w:hAnsi="Times New Roman" w:eastAsia="方正仿宋_GBK" w:cs="Times New Roman"/>
          <w:sz w:val="28"/>
          <w:szCs w:val="28"/>
        </w:rPr>
        <w:t>标单价进行据实结算</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结算总价不得超过本项目采购</w:t>
      </w:r>
      <w:r>
        <w:rPr>
          <w:rFonts w:hint="default" w:ascii="Times New Roman" w:hAnsi="Times New Roman" w:eastAsia="方正仿宋_GBK" w:cs="Times New Roman"/>
          <w:sz w:val="28"/>
          <w:szCs w:val="28"/>
          <w:lang w:eastAsia="zh-CN"/>
        </w:rPr>
        <w:t>总</w:t>
      </w:r>
      <w:r>
        <w:rPr>
          <w:rFonts w:hint="default" w:ascii="Times New Roman" w:hAnsi="Times New Roman" w:eastAsia="方正仿宋_GBK" w:cs="Times New Roman"/>
          <w:sz w:val="28"/>
          <w:szCs w:val="28"/>
        </w:rPr>
        <w:t>预算，超出</w:t>
      </w:r>
      <w:r>
        <w:rPr>
          <w:rFonts w:hint="default" w:ascii="Times New Roman" w:hAnsi="Times New Roman" w:eastAsia="方正仿宋_GBK" w:cs="Times New Roman"/>
          <w:sz w:val="28"/>
          <w:szCs w:val="28"/>
          <w:lang w:eastAsia="zh-CN"/>
        </w:rPr>
        <w:t>总</w:t>
      </w:r>
      <w:r>
        <w:rPr>
          <w:rFonts w:hint="default" w:ascii="Times New Roman" w:hAnsi="Times New Roman" w:eastAsia="方正仿宋_GBK" w:cs="Times New Roman"/>
          <w:sz w:val="28"/>
          <w:szCs w:val="28"/>
        </w:rPr>
        <w:t>预算自动终止本次采购合同）</w:t>
      </w:r>
      <w:r>
        <w:rPr>
          <w:rFonts w:hint="default" w:ascii="Times New Roman" w:hAnsi="Times New Roman" w:eastAsia="方正仿宋_GBK" w:cs="Times New Roman"/>
          <w:sz w:val="28"/>
          <w:szCs w:val="28"/>
          <w:lang w:eastAsia="zh-CN"/>
        </w:rPr>
        <w:t>，每月结束后，经采购人与中标供应商确认实际供货量，中标供应商向采购人提供增值税发票和其他结算资料，采购人收到发票和其他结算资料后</w:t>
      </w:r>
      <w:r>
        <w:rPr>
          <w:rFonts w:hint="default" w:ascii="Times New Roman" w:hAnsi="Times New Roman" w:eastAsia="方正仿宋_GBK" w:cs="Times New Roman"/>
          <w:sz w:val="28"/>
          <w:szCs w:val="28"/>
          <w:lang w:val="en-US" w:eastAsia="zh-CN"/>
        </w:rPr>
        <w:t>20个工作日内采用对公转账方式支付该月费用。</w:t>
      </w:r>
    </w:p>
    <w:p w14:paraId="0CBDF3E5">
      <w:pPr>
        <w:numPr>
          <w:ilvl w:val="0"/>
          <w:numId w:val="0"/>
        </w:numPr>
        <w:tabs>
          <w:tab w:val="left" w:pos="420"/>
        </w:tabs>
        <w:spacing w:line="360" w:lineRule="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4.</w:t>
      </w:r>
      <w:r>
        <w:rPr>
          <w:rFonts w:hint="default" w:ascii="Times New Roman" w:hAnsi="Times New Roman" w:eastAsia="方正仿宋_GBK" w:cs="Times New Roman"/>
          <w:sz w:val="28"/>
          <w:szCs w:val="28"/>
        </w:rPr>
        <w:t>交付时间：接到采购人订货通知后 8 小时送货到采购人指定地点。</w:t>
      </w:r>
    </w:p>
    <w:p w14:paraId="11C5BFA2">
      <w:pPr>
        <w:numPr>
          <w:ilvl w:val="0"/>
          <w:numId w:val="0"/>
        </w:numPr>
        <w:tabs>
          <w:tab w:val="left" w:pos="420"/>
        </w:tabs>
        <w:spacing w:line="360" w:lineRule="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5.</w:t>
      </w:r>
      <w:r>
        <w:rPr>
          <w:rFonts w:hint="default" w:ascii="Times New Roman" w:hAnsi="Times New Roman" w:eastAsia="方正仿宋_GBK" w:cs="Times New Roman"/>
          <w:sz w:val="28"/>
          <w:szCs w:val="28"/>
          <w:lang w:eastAsia="zh-CN"/>
        </w:rPr>
        <w:t>货物有效期</w:t>
      </w:r>
      <w:r>
        <w:rPr>
          <w:rFonts w:hint="default" w:ascii="Times New Roman" w:hAnsi="Times New Roman" w:eastAsia="方正仿宋_GBK" w:cs="Times New Roman"/>
          <w:sz w:val="28"/>
          <w:szCs w:val="28"/>
        </w:rPr>
        <w:t>期不低于</w:t>
      </w:r>
      <w:r>
        <w:rPr>
          <w:rFonts w:hint="default" w:ascii="Times New Roman" w:hAnsi="Times New Roman" w:eastAsia="方正仿宋_GBK" w:cs="Times New Roman"/>
          <w:sz w:val="28"/>
          <w:szCs w:val="28"/>
          <w:lang w:eastAsia="zh-CN"/>
        </w:rPr>
        <w:t>两</w:t>
      </w:r>
      <w:r>
        <w:rPr>
          <w:rFonts w:hint="default" w:ascii="Times New Roman" w:hAnsi="Times New Roman" w:eastAsia="方正仿宋_GBK" w:cs="Times New Roman"/>
          <w:sz w:val="28"/>
          <w:szCs w:val="28"/>
        </w:rPr>
        <w:t>年。</w:t>
      </w:r>
    </w:p>
    <w:p w14:paraId="2EB48651">
      <w:pPr>
        <w:tabs>
          <w:tab w:val="left" w:pos="420"/>
        </w:tabs>
        <w:spacing w:line="360" w:lineRule="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6.有效期</w:t>
      </w:r>
      <w:r>
        <w:rPr>
          <w:rFonts w:hint="default" w:ascii="Times New Roman" w:hAnsi="Times New Roman" w:eastAsia="方正仿宋_GBK" w:cs="Times New Roman"/>
          <w:sz w:val="28"/>
          <w:szCs w:val="28"/>
        </w:rPr>
        <w:t>内若发现货物不合格或临近过期，供应商于 24 小时内进行更换。如有三次发现货物不合格，采购人有权解除合同。</w:t>
      </w:r>
    </w:p>
    <w:p w14:paraId="1CD5542F">
      <w:pPr>
        <w:tabs>
          <w:tab w:val="left" w:pos="420"/>
        </w:tabs>
        <w:spacing w:line="360" w:lineRule="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7.</w:t>
      </w:r>
      <w:r>
        <w:rPr>
          <w:rFonts w:hint="default" w:ascii="Times New Roman" w:hAnsi="Times New Roman" w:eastAsia="方正仿宋_GBK" w:cs="Times New Roman"/>
          <w:sz w:val="28"/>
          <w:szCs w:val="28"/>
        </w:rPr>
        <w:t>投标人所提供的货物价格是包干价，包括货物价格、运费、税费、售后服务费等一切与本项目相关的费用。</w:t>
      </w:r>
    </w:p>
    <w:p w14:paraId="0C231B0C">
      <w:pPr>
        <w:tabs>
          <w:tab w:val="left" w:pos="420"/>
        </w:tabs>
        <w:spacing w:line="360" w:lineRule="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8.</w:t>
      </w:r>
      <w:r>
        <w:rPr>
          <w:rFonts w:hint="default" w:ascii="Times New Roman" w:hAnsi="Times New Roman" w:eastAsia="方正仿宋_GBK" w:cs="Times New Roman"/>
          <w:sz w:val="28"/>
          <w:szCs w:val="28"/>
        </w:rPr>
        <w:t>若第一次出现到货验收不合格的情况，供应商须无条件退货并于24 小时内更换；若第二次出现到货验收不合格的情况，采购人有权拒绝</w:t>
      </w:r>
      <w:r>
        <w:rPr>
          <w:rFonts w:hint="default" w:ascii="Times New Roman" w:hAnsi="Times New Roman" w:eastAsia="方正仿宋_GBK" w:cs="Times New Roman"/>
          <w:sz w:val="28"/>
          <w:szCs w:val="28"/>
          <w:lang w:eastAsia="zh-CN"/>
        </w:rPr>
        <w:t>支付该批次货款</w:t>
      </w:r>
      <w:r>
        <w:rPr>
          <w:rFonts w:hint="default" w:ascii="Times New Roman" w:hAnsi="Times New Roman" w:eastAsia="方正仿宋_GBK" w:cs="Times New Roman"/>
          <w:sz w:val="28"/>
          <w:szCs w:val="28"/>
        </w:rPr>
        <w:t>，若第</w:t>
      </w:r>
      <w:r>
        <w:rPr>
          <w:rFonts w:hint="default" w:ascii="Times New Roman" w:hAnsi="Times New Roman" w:eastAsia="方正仿宋_GBK" w:cs="Times New Roman"/>
          <w:sz w:val="28"/>
          <w:szCs w:val="28"/>
          <w:lang w:eastAsia="zh-CN"/>
        </w:rPr>
        <w:t>三</w:t>
      </w:r>
      <w:r>
        <w:rPr>
          <w:rFonts w:hint="default" w:ascii="Times New Roman" w:hAnsi="Times New Roman" w:eastAsia="方正仿宋_GBK" w:cs="Times New Roman"/>
          <w:sz w:val="28"/>
          <w:szCs w:val="28"/>
        </w:rPr>
        <w:t>次出现到货验收不合格的情况，采购人有权解除合同。</w:t>
      </w:r>
    </w:p>
    <w:p w14:paraId="56A78EEB">
      <w:pPr>
        <w:tabs>
          <w:tab w:val="left" w:pos="420"/>
        </w:tabs>
        <w:spacing w:line="360" w:lineRule="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9.</w:t>
      </w:r>
      <w:r>
        <w:rPr>
          <w:rFonts w:hint="default" w:ascii="Times New Roman" w:hAnsi="Times New Roman" w:eastAsia="方正仿宋_GBK" w:cs="Times New Roman"/>
          <w:sz w:val="28"/>
          <w:szCs w:val="28"/>
        </w:rPr>
        <w:t>核对货物的商品有厂名，厂址，合格证，到货验收不合格，投标人于 24 小时内免费更换。如有三次发现送货不合格，采购人有权解除合同。</w:t>
      </w:r>
    </w:p>
    <w:p w14:paraId="187D9259">
      <w:pPr>
        <w:tabs>
          <w:tab w:val="left" w:pos="420"/>
        </w:tabs>
        <w:spacing w:line="360" w:lineRule="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10.</w:t>
      </w:r>
      <w:r>
        <w:rPr>
          <w:rFonts w:hint="default" w:ascii="Times New Roman" w:hAnsi="Times New Roman" w:eastAsia="方正仿宋_GBK" w:cs="Times New Roman"/>
          <w:sz w:val="28"/>
          <w:szCs w:val="28"/>
        </w:rPr>
        <w:t>供应商在服务实施过程中的安全责任由供应商负全责，采购人不承担任何安全责任，也不承担如发生安全事故产生的任何责任。</w:t>
      </w:r>
    </w:p>
    <w:p w14:paraId="07E59622">
      <w:pPr>
        <w:tabs>
          <w:tab w:val="left" w:pos="420"/>
        </w:tabs>
        <w:spacing w:line="360" w:lineRule="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11.</w:t>
      </w:r>
      <w:r>
        <w:rPr>
          <w:rFonts w:hint="default" w:ascii="Times New Roman" w:hAnsi="Times New Roman" w:eastAsia="方正仿宋_GBK" w:cs="Times New Roman"/>
          <w:sz w:val="28"/>
          <w:szCs w:val="28"/>
        </w:rPr>
        <w:t>验收标准和方法:</w:t>
      </w:r>
    </w:p>
    <w:p w14:paraId="2FDE4634">
      <w:pPr>
        <w:tabs>
          <w:tab w:val="left" w:pos="420"/>
        </w:tabs>
        <w:spacing w:line="360" w:lineRule="auto"/>
        <w:ind w:firstLine="280" w:firstLineChars="1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（1）随车出具</w:t>
      </w:r>
      <w:r>
        <w:rPr>
          <w:rFonts w:hint="default" w:ascii="Times New Roman" w:hAnsi="Times New Roman" w:eastAsia="方正仿宋_GBK" w:cs="Times New Roman"/>
          <w:sz w:val="28"/>
          <w:szCs w:val="28"/>
          <w:lang w:eastAsia="zh-CN"/>
        </w:rPr>
        <w:t>货品</w:t>
      </w:r>
      <w:r>
        <w:rPr>
          <w:rFonts w:hint="default" w:ascii="Times New Roman" w:hAnsi="Times New Roman" w:eastAsia="方正仿宋_GBK" w:cs="Times New Roman"/>
          <w:sz w:val="28"/>
          <w:szCs w:val="28"/>
        </w:rPr>
        <w:t>出厂合格证，并接受采购人抽检。</w:t>
      </w:r>
    </w:p>
    <w:p w14:paraId="42C294E6">
      <w:pPr>
        <w:spacing w:line="360" w:lineRule="auto"/>
        <w:ind w:firstLine="280" w:firstLineChars="1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验收标准：按国家有关规定以及采购人招标文件的质量要求和技术指标、投标人的投标文件及承诺与本合同约定标准进行验收；双方如对质量要求和技术指标的约定标准有相互抵触或异议的事项，由采购人在招标文件与投标文件中按质量要求和技术指标比较优胜的原则确定该项的约定标准进行验收。</w:t>
      </w:r>
    </w:p>
    <w:p w14:paraId="7594A329">
      <w:pPr>
        <w:tabs>
          <w:tab w:val="left" w:pos="420"/>
        </w:tabs>
        <w:spacing w:line="360" w:lineRule="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12.</w:t>
      </w:r>
      <w:r>
        <w:rPr>
          <w:rFonts w:hint="default" w:ascii="Times New Roman" w:hAnsi="Times New Roman" w:eastAsia="方正仿宋_GBK" w:cs="Times New Roman"/>
          <w:sz w:val="28"/>
          <w:szCs w:val="28"/>
          <w:lang w:eastAsia="zh-CN"/>
        </w:rPr>
        <w:t>中标供应商</w:t>
      </w:r>
      <w:r>
        <w:rPr>
          <w:rFonts w:hint="default" w:ascii="Times New Roman" w:hAnsi="Times New Roman" w:eastAsia="方正仿宋_GBK" w:cs="Times New Roman"/>
          <w:sz w:val="28"/>
          <w:szCs w:val="28"/>
        </w:rPr>
        <w:t>提供</w:t>
      </w:r>
      <w:r>
        <w:rPr>
          <w:rFonts w:hint="default" w:ascii="Times New Roman" w:hAnsi="Times New Roman" w:eastAsia="方正仿宋_GBK" w:cs="Times New Roman"/>
          <w:sz w:val="28"/>
          <w:szCs w:val="28"/>
          <w:lang w:eastAsia="zh-CN"/>
        </w:rPr>
        <w:t>对应型号腕带</w:t>
      </w:r>
      <w:r>
        <w:rPr>
          <w:rFonts w:hint="default" w:ascii="Times New Roman" w:hAnsi="Times New Roman" w:eastAsia="方正仿宋_GBK" w:cs="Times New Roman"/>
          <w:sz w:val="28"/>
          <w:szCs w:val="28"/>
        </w:rPr>
        <w:t>打印机</w:t>
      </w:r>
      <w:r>
        <w:rPr>
          <w:rFonts w:hint="default" w:ascii="Times New Roman" w:hAnsi="Times New Roman" w:eastAsia="方正仿宋_GBK" w:cs="Times New Roman"/>
          <w:sz w:val="28"/>
          <w:szCs w:val="28"/>
          <w:lang w:eastAsia="zh-CN"/>
        </w:rPr>
        <w:t>使用</w:t>
      </w:r>
      <w:r>
        <w:rPr>
          <w:rFonts w:hint="default" w:ascii="Times New Roman" w:hAnsi="Times New Roman" w:eastAsia="方正仿宋_GBK" w:cs="Times New Roman"/>
          <w:sz w:val="28"/>
          <w:szCs w:val="28"/>
        </w:rPr>
        <w:t>。</w:t>
      </w:r>
    </w:p>
    <w:p w14:paraId="74FF98A1">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（三）商务要求（实质性要求）</w:t>
      </w:r>
    </w:p>
    <w:p w14:paraId="69720F1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付款方式：</w:t>
      </w:r>
      <w:r>
        <w:rPr>
          <w:rFonts w:hint="default" w:ascii="Times New Roman" w:hAnsi="Times New Roman" w:eastAsia="方正仿宋_GBK" w:cs="Times New Roman"/>
          <w:sz w:val="28"/>
          <w:szCs w:val="28"/>
          <w:lang w:eastAsia="zh-CN"/>
        </w:rPr>
        <w:t>项目据实结算，每月验收合格并提供有效发票及相关凭证后</w:t>
      </w:r>
      <w:r>
        <w:rPr>
          <w:rFonts w:hint="default" w:ascii="Times New Roman" w:hAnsi="Times New Roman" w:eastAsia="方正仿宋_GBK" w:cs="Times New Roman"/>
          <w:sz w:val="28"/>
          <w:szCs w:val="28"/>
          <w:lang w:val="en-US" w:eastAsia="zh-CN"/>
        </w:rPr>
        <w:t>30日内支付相应金额</w:t>
      </w:r>
      <w:r>
        <w:rPr>
          <w:rFonts w:hint="default" w:ascii="Times New Roman" w:hAnsi="Times New Roman" w:eastAsia="方正仿宋_GBK" w:cs="Times New Roman"/>
          <w:sz w:val="28"/>
          <w:szCs w:val="28"/>
          <w:lang w:eastAsia="zh-CN"/>
        </w:rPr>
        <w:t>。</w:t>
      </w:r>
    </w:p>
    <w:p w14:paraId="6A8F7F7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报价要求：</w:t>
      </w:r>
      <w:r>
        <w:rPr>
          <w:rFonts w:hint="default" w:ascii="Times New Roman" w:hAnsi="Times New Roman" w:eastAsia="方正仿宋_GBK" w:cs="Times New Roman"/>
          <w:sz w:val="28"/>
          <w:szCs w:val="28"/>
          <w:lang w:eastAsia="zh-CN"/>
        </w:rPr>
        <w:t>病员腕带单价</w:t>
      </w:r>
      <w:r>
        <w:rPr>
          <w:rFonts w:hint="default" w:ascii="Times New Roman" w:hAnsi="Times New Roman" w:eastAsia="方正仿宋_GBK" w:cs="Times New Roman"/>
          <w:sz w:val="28"/>
          <w:szCs w:val="28"/>
        </w:rPr>
        <w:t>最高限价</w:t>
      </w:r>
      <w:r>
        <w:rPr>
          <w:rFonts w:hint="default" w:ascii="Times New Roman" w:hAnsi="Times New Roman" w:eastAsia="方正仿宋_GBK" w:cs="Times New Roman"/>
          <w:sz w:val="28"/>
          <w:szCs w:val="28"/>
          <w:lang w:val="en-US" w:eastAsia="zh-CN"/>
        </w:rPr>
        <w:t>0.65</w:t>
      </w:r>
      <w:r>
        <w:rPr>
          <w:rFonts w:hint="default" w:ascii="Times New Roman" w:hAnsi="Times New Roman" w:eastAsia="方正仿宋_GBK" w:cs="Times New Roman"/>
          <w:sz w:val="28"/>
          <w:szCs w:val="28"/>
        </w:rPr>
        <w:t>元</w:t>
      </w:r>
      <w:r>
        <w:rPr>
          <w:rFonts w:hint="default" w:ascii="Times New Roman" w:hAnsi="Times New Roman" w:eastAsia="方正仿宋_GBK" w:cs="Times New Roman"/>
          <w:sz w:val="28"/>
          <w:szCs w:val="28"/>
          <w:lang w:val="en-US" w:eastAsia="zh-CN"/>
        </w:rPr>
        <w:t>/根,本项目报价按照单价进行报价。</w:t>
      </w:r>
    </w:p>
    <w:p w14:paraId="351CB2E0">
      <w:pPr>
        <w:spacing w:line="360" w:lineRule="auto"/>
        <w:jc w:val="center"/>
        <w:rPr>
          <w:rFonts w:ascii="Times New Roman" w:hAnsi="Times New Roman" w:cs="Times New Roman"/>
          <w:b/>
          <w:sz w:val="28"/>
          <w:szCs w:val="28"/>
        </w:rPr>
      </w:pPr>
      <w:r>
        <w:rPr>
          <w:rFonts w:ascii="Times New Roman" w:hAnsi="Times New Roman" w:cs="Times New Roman"/>
          <w:b/>
          <w:sz w:val="28"/>
          <w:szCs w:val="28"/>
        </w:rPr>
        <w:t>第三章  比选程序及评审标准</w:t>
      </w:r>
    </w:p>
    <w:p w14:paraId="0BFA7C3A">
      <w:pPr>
        <w:spacing w:line="360" w:lineRule="auto"/>
        <w:ind w:firstLine="562"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sz w:val="28"/>
          <w:szCs w:val="28"/>
        </w:rPr>
        <w:t>一、</w:t>
      </w:r>
      <w:r>
        <w:rPr>
          <w:rFonts w:hint="eastAsia" w:ascii="方正仿宋_GBK" w:hAnsi="方正仿宋_GBK" w:eastAsia="方正仿宋_GBK" w:cs="方正仿宋_GBK"/>
          <w:sz w:val="28"/>
          <w:szCs w:val="28"/>
        </w:rPr>
        <w:t>由采购人自行组成比选委员会，负责查看供应商所申报的材料是否完善，是否按要求加盖单位印章。</w:t>
      </w:r>
    </w:p>
    <w:p w14:paraId="16F81C74">
      <w:pPr>
        <w:spacing w:line="360" w:lineRule="auto"/>
        <w:ind w:firstLine="562"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sz w:val="28"/>
          <w:szCs w:val="28"/>
        </w:rPr>
        <w:t>二</w:t>
      </w:r>
      <w:r>
        <w:rPr>
          <w:rFonts w:hint="eastAsia" w:ascii="方正仿宋_GBK" w:hAnsi="方正仿宋_GBK" w:eastAsia="方正仿宋_GBK" w:cs="方正仿宋_GBK"/>
          <w:sz w:val="28"/>
          <w:szCs w:val="28"/>
        </w:rPr>
        <w:t>、评选委员会根据评审要求对供应商申报材料进行评审，按</w:t>
      </w:r>
      <w:r>
        <w:rPr>
          <w:rFonts w:hint="eastAsia" w:ascii="方正仿宋_GBK" w:hAnsi="方正仿宋_GBK" w:eastAsia="方正仿宋_GBK" w:cs="方正仿宋_GBK"/>
          <w:sz w:val="28"/>
          <w:szCs w:val="28"/>
          <w:lang w:eastAsia="zh-CN"/>
        </w:rPr>
        <w:t>综合评分由高到低</w:t>
      </w:r>
      <w:r>
        <w:rPr>
          <w:rFonts w:hint="eastAsia" w:ascii="方正仿宋_GBK" w:hAnsi="方正仿宋_GBK" w:eastAsia="方正仿宋_GBK" w:cs="方正仿宋_GBK"/>
          <w:sz w:val="28"/>
          <w:szCs w:val="28"/>
        </w:rPr>
        <w:t>排序。由评比选委员会确定排序第一的为成交供应商。排名第一的成交供应商放弃成交的，确定排名第二的为成交供应商，依次类推。</w:t>
      </w:r>
    </w:p>
    <w:p w14:paraId="6DFC101C">
      <w:pPr>
        <w:spacing w:line="360" w:lineRule="auto"/>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三、评分细则</w:t>
      </w:r>
    </w:p>
    <w:tbl>
      <w:tblPr>
        <w:tblStyle w:val="4"/>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76"/>
        <w:gridCol w:w="963"/>
        <w:gridCol w:w="5557"/>
        <w:gridCol w:w="992"/>
      </w:tblGrid>
      <w:tr w14:paraId="795B9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center"/>
          </w:tcPr>
          <w:p w14:paraId="3488FE7F">
            <w:pPr>
              <w:spacing w:line="360" w:lineRule="auto"/>
              <w:ind w:firstLine="28"/>
              <w:jc w:val="center"/>
              <w:rPr>
                <w:rFonts w:ascii="宋体" w:hAnsi="宋体"/>
                <w:b/>
                <w:bCs/>
                <w:sz w:val="24"/>
              </w:rPr>
            </w:pPr>
            <w:r>
              <w:rPr>
                <w:rFonts w:hint="eastAsia" w:ascii="宋体" w:hAnsi="宋体"/>
                <w:b/>
                <w:bCs/>
                <w:sz w:val="24"/>
              </w:rPr>
              <w:t>序号</w:t>
            </w:r>
          </w:p>
        </w:tc>
        <w:tc>
          <w:tcPr>
            <w:tcW w:w="1276" w:type="dxa"/>
            <w:noWrap w:val="0"/>
            <w:vAlign w:val="center"/>
          </w:tcPr>
          <w:p w14:paraId="2264B455">
            <w:pPr>
              <w:spacing w:line="360" w:lineRule="auto"/>
              <w:ind w:firstLine="28"/>
              <w:jc w:val="center"/>
              <w:rPr>
                <w:rFonts w:ascii="宋体" w:hAnsi="宋体"/>
                <w:b/>
                <w:bCs/>
                <w:sz w:val="24"/>
              </w:rPr>
            </w:pPr>
            <w:r>
              <w:rPr>
                <w:rFonts w:hint="eastAsia" w:ascii="宋体" w:hAnsi="宋体"/>
                <w:b/>
                <w:bCs/>
                <w:sz w:val="24"/>
              </w:rPr>
              <w:t>评分因素</w:t>
            </w:r>
          </w:p>
          <w:p w14:paraId="37D3AC5E">
            <w:pPr>
              <w:spacing w:line="360" w:lineRule="auto"/>
              <w:ind w:firstLine="28"/>
              <w:jc w:val="center"/>
              <w:rPr>
                <w:rFonts w:ascii="宋体" w:hAnsi="宋体"/>
                <w:b/>
                <w:bCs/>
                <w:sz w:val="24"/>
              </w:rPr>
            </w:pPr>
            <w:r>
              <w:rPr>
                <w:rFonts w:hint="eastAsia" w:ascii="宋体" w:hAnsi="宋体"/>
                <w:b/>
                <w:bCs/>
                <w:sz w:val="24"/>
              </w:rPr>
              <w:t>及权重</w:t>
            </w:r>
          </w:p>
        </w:tc>
        <w:tc>
          <w:tcPr>
            <w:tcW w:w="963" w:type="dxa"/>
            <w:noWrap w:val="0"/>
            <w:vAlign w:val="center"/>
          </w:tcPr>
          <w:p w14:paraId="7BF6F92F">
            <w:pPr>
              <w:spacing w:line="360" w:lineRule="auto"/>
              <w:jc w:val="center"/>
              <w:rPr>
                <w:rFonts w:ascii="宋体" w:hAnsi="宋体"/>
                <w:b/>
                <w:bCs/>
                <w:sz w:val="24"/>
              </w:rPr>
            </w:pPr>
            <w:r>
              <w:rPr>
                <w:rFonts w:hint="eastAsia" w:ascii="宋体" w:hAnsi="宋体"/>
                <w:b/>
                <w:bCs/>
                <w:sz w:val="24"/>
              </w:rPr>
              <w:t>分值</w:t>
            </w:r>
          </w:p>
        </w:tc>
        <w:tc>
          <w:tcPr>
            <w:tcW w:w="5557" w:type="dxa"/>
            <w:noWrap w:val="0"/>
            <w:vAlign w:val="center"/>
          </w:tcPr>
          <w:p w14:paraId="5C024D9E">
            <w:pPr>
              <w:spacing w:line="360" w:lineRule="auto"/>
              <w:ind w:firstLine="28"/>
              <w:jc w:val="center"/>
              <w:rPr>
                <w:rFonts w:ascii="宋体"/>
                <w:sz w:val="24"/>
              </w:rPr>
            </w:pPr>
            <w:r>
              <w:rPr>
                <w:rFonts w:hint="eastAsia" w:ascii="宋体" w:hAnsi="宋体"/>
                <w:b/>
                <w:bCs/>
                <w:sz w:val="24"/>
              </w:rPr>
              <w:t>评分标准</w:t>
            </w:r>
          </w:p>
        </w:tc>
        <w:tc>
          <w:tcPr>
            <w:tcW w:w="992" w:type="dxa"/>
            <w:noWrap w:val="0"/>
            <w:vAlign w:val="center"/>
          </w:tcPr>
          <w:p w14:paraId="67F7E364">
            <w:pPr>
              <w:spacing w:line="360" w:lineRule="auto"/>
              <w:jc w:val="center"/>
              <w:rPr>
                <w:rFonts w:ascii="宋体" w:hAnsi="宋体"/>
                <w:b/>
                <w:bCs/>
                <w:sz w:val="24"/>
              </w:rPr>
            </w:pPr>
            <w:r>
              <w:rPr>
                <w:rFonts w:hint="eastAsia" w:ascii="宋体" w:hAnsi="宋体"/>
                <w:b/>
                <w:bCs/>
                <w:sz w:val="24"/>
              </w:rPr>
              <w:t>备注</w:t>
            </w:r>
          </w:p>
        </w:tc>
      </w:tr>
      <w:tr w14:paraId="2C3C5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center"/>
          </w:tcPr>
          <w:p w14:paraId="1441CD07">
            <w:pPr>
              <w:spacing w:line="360" w:lineRule="auto"/>
              <w:ind w:firstLine="28"/>
              <w:jc w:val="center"/>
              <w:rPr>
                <w:rFonts w:ascii="宋体" w:hAnsi="宋体"/>
                <w:sz w:val="24"/>
              </w:rPr>
            </w:pPr>
            <w:r>
              <w:rPr>
                <w:rFonts w:hint="eastAsia" w:ascii="宋体" w:hAnsi="宋体"/>
                <w:sz w:val="24"/>
              </w:rPr>
              <w:t>1</w:t>
            </w:r>
          </w:p>
        </w:tc>
        <w:tc>
          <w:tcPr>
            <w:tcW w:w="1276" w:type="dxa"/>
            <w:noWrap w:val="0"/>
            <w:vAlign w:val="center"/>
          </w:tcPr>
          <w:p w14:paraId="46F00B5E">
            <w:pPr>
              <w:spacing w:line="360" w:lineRule="auto"/>
              <w:jc w:val="center"/>
              <w:rPr>
                <w:rFonts w:ascii="宋体" w:hAnsi="宋体" w:cs="仿宋"/>
                <w:sz w:val="24"/>
                <w:lang w:val="zh-TW" w:eastAsia="zh-TW"/>
              </w:rPr>
            </w:pPr>
            <w:r>
              <w:rPr>
                <w:rFonts w:hint="eastAsia" w:ascii="宋体" w:hAnsi="宋体" w:cs="仿宋"/>
                <w:sz w:val="24"/>
                <w:lang w:val="zh-TW" w:eastAsia="zh-TW"/>
              </w:rPr>
              <w:t>报价</w:t>
            </w:r>
          </w:p>
          <w:p w14:paraId="25BD127C">
            <w:pPr>
              <w:spacing w:line="360" w:lineRule="auto"/>
              <w:jc w:val="center"/>
              <w:rPr>
                <w:rFonts w:ascii="宋体" w:hAnsi="宋体" w:cs="仿宋"/>
                <w:sz w:val="24"/>
                <w:lang w:val="zh-TW" w:eastAsia="zh-TW"/>
              </w:rPr>
            </w:pPr>
            <w:r>
              <w:rPr>
                <w:rFonts w:ascii="宋体" w:hAnsi="宋体" w:eastAsia="PMingLiU" w:cs="仿宋"/>
                <w:sz w:val="24"/>
                <w:lang w:val="zh-TW" w:eastAsia="zh-TW"/>
              </w:rPr>
              <w:t>30</w:t>
            </w:r>
            <w:r>
              <w:rPr>
                <w:rFonts w:hint="eastAsia" w:ascii="宋体" w:hAnsi="宋体" w:cs="仿宋"/>
                <w:sz w:val="24"/>
                <w:lang w:val="zh-TW" w:eastAsia="zh-TW"/>
              </w:rPr>
              <w:t>%</w:t>
            </w:r>
          </w:p>
        </w:tc>
        <w:tc>
          <w:tcPr>
            <w:tcW w:w="963" w:type="dxa"/>
            <w:noWrap w:val="0"/>
            <w:vAlign w:val="center"/>
          </w:tcPr>
          <w:p w14:paraId="4EE3CEB7">
            <w:pPr>
              <w:spacing w:line="360" w:lineRule="auto"/>
              <w:jc w:val="center"/>
              <w:rPr>
                <w:rFonts w:ascii="宋体" w:hAnsi="宋体" w:cs="仿宋"/>
                <w:sz w:val="24"/>
                <w:lang w:val="zh-TW" w:eastAsia="zh-TW"/>
              </w:rPr>
            </w:pPr>
            <w:r>
              <w:rPr>
                <w:rFonts w:ascii="宋体" w:hAnsi="宋体" w:eastAsia="PMingLiU" w:cs="仿宋"/>
                <w:sz w:val="24"/>
                <w:lang w:val="zh-TW" w:eastAsia="zh-TW"/>
              </w:rPr>
              <w:t>30</w:t>
            </w:r>
            <w:r>
              <w:rPr>
                <w:rFonts w:hint="eastAsia" w:ascii="宋体" w:hAnsi="宋体" w:cs="仿宋"/>
                <w:sz w:val="24"/>
                <w:lang w:val="zh-TW" w:eastAsia="zh-TW"/>
              </w:rPr>
              <w:t>分</w:t>
            </w:r>
          </w:p>
        </w:tc>
        <w:tc>
          <w:tcPr>
            <w:tcW w:w="5557" w:type="dxa"/>
            <w:noWrap w:val="0"/>
            <w:vAlign w:val="center"/>
          </w:tcPr>
          <w:p w14:paraId="3501A4C5">
            <w:pPr>
              <w:pStyle w:val="8"/>
              <w:ind w:firstLine="240" w:firstLineChars="100"/>
            </w:pPr>
            <w:r>
              <w:rPr>
                <w:rFonts w:hint="eastAsia"/>
              </w:rPr>
              <w:t>满足</w:t>
            </w:r>
            <w:r>
              <w:rPr>
                <w:rFonts w:hint="eastAsia"/>
                <w:lang w:eastAsia="zh-CN"/>
              </w:rPr>
              <w:t>比选</w:t>
            </w:r>
            <w:r>
              <w:rPr>
                <w:rFonts w:hint="eastAsia"/>
              </w:rPr>
              <w:t>文件要求且下浮比例最高的最终下浮率为基准下浮率，其价格分为满分。其他供应商的价格分统一按照下列公式计算：</w:t>
            </w:r>
            <w:r>
              <w:rPr>
                <w:rFonts w:hint="eastAsia"/>
                <w:lang w:eastAsia="zh-CN"/>
              </w:rPr>
              <w:t>比选</w:t>
            </w:r>
            <w:r>
              <w:rPr>
                <w:rFonts w:hint="eastAsia"/>
              </w:rPr>
              <w:t>报价得分=(1</w:t>
            </w:r>
            <w:r>
              <w:t>-</w:t>
            </w:r>
            <w:r>
              <w:rPr>
                <w:rFonts w:hint="eastAsia"/>
              </w:rPr>
              <w:t>基准下浮率)／（1-最终下浮率）)*</w:t>
            </w:r>
            <w:r>
              <w:t>30</w:t>
            </w:r>
            <w:r>
              <w:rPr>
                <w:rFonts w:hint="eastAsia"/>
              </w:rPr>
              <w:t>%*100</w:t>
            </w:r>
          </w:p>
        </w:tc>
        <w:tc>
          <w:tcPr>
            <w:tcW w:w="992" w:type="dxa"/>
            <w:noWrap w:val="0"/>
            <w:vAlign w:val="center"/>
          </w:tcPr>
          <w:p w14:paraId="20DF9C6A">
            <w:pPr>
              <w:spacing w:line="360" w:lineRule="auto"/>
              <w:jc w:val="center"/>
              <w:rPr>
                <w:rFonts w:ascii="宋体" w:hAnsi="宋体"/>
                <w:sz w:val="24"/>
              </w:rPr>
            </w:pPr>
            <w:r>
              <w:rPr>
                <w:rFonts w:hint="eastAsia" w:ascii="宋体" w:hAnsi="宋体"/>
                <w:sz w:val="24"/>
              </w:rPr>
              <w:t>共同评审因素</w:t>
            </w:r>
          </w:p>
        </w:tc>
      </w:tr>
      <w:tr w14:paraId="0DF36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center"/>
          </w:tcPr>
          <w:p w14:paraId="29338603">
            <w:pPr>
              <w:spacing w:line="360" w:lineRule="auto"/>
              <w:ind w:firstLine="28"/>
              <w:jc w:val="center"/>
              <w:rPr>
                <w:rFonts w:ascii="宋体" w:hAnsi="宋体"/>
                <w:sz w:val="24"/>
              </w:rPr>
            </w:pPr>
            <w:r>
              <w:rPr>
                <w:rFonts w:hint="eastAsia" w:ascii="宋体" w:hAnsi="宋体"/>
                <w:sz w:val="24"/>
              </w:rPr>
              <w:t>2</w:t>
            </w:r>
          </w:p>
        </w:tc>
        <w:tc>
          <w:tcPr>
            <w:tcW w:w="1276" w:type="dxa"/>
            <w:noWrap w:val="0"/>
            <w:vAlign w:val="center"/>
          </w:tcPr>
          <w:p w14:paraId="4B6CBB41">
            <w:pPr>
              <w:spacing w:line="360" w:lineRule="auto"/>
              <w:jc w:val="center"/>
              <w:rPr>
                <w:rFonts w:ascii="宋体" w:hAnsi="宋体" w:cs="仿宋"/>
                <w:sz w:val="24"/>
                <w:lang w:val="zh-TW" w:eastAsia="zh-TW"/>
              </w:rPr>
            </w:pPr>
            <w:r>
              <w:rPr>
                <w:rFonts w:hint="eastAsia" w:ascii="宋体" w:hAnsi="宋体" w:cs="仿宋"/>
                <w:sz w:val="24"/>
                <w:lang w:val="zh-TW" w:eastAsia="zh-TW"/>
              </w:rPr>
              <w:t>实施方案</w:t>
            </w:r>
            <w:r>
              <w:rPr>
                <w:rFonts w:ascii="宋体" w:hAnsi="宋体" w:eastAsia="PMingLiU" w:cs="仿宋"/>
                <w:sz w:val="24"/>
                <w:lang w:val="zh-TW" w:eastAsia="zh-TW"/>
              </w:rPr>
              <w:t>3</w:t>
            </w:r>
            <w:r>
              <w:rPr>
                <w:rFonts w:hint="eastAsia" w:ascii="宋体" w:hAnsi="宋体" w:eastAsia="宋体" w:cs="仿宋"/>
                <w:sz w:val="24"/>
                <w:lang w:val="en-US" w:eastAsia="zh-CN"/>
              </w:rPr>
              <w:t>2</w:t>
            </w:r>
            <w:r>
              <w:rPr>
                <w:rFonts w:hint="eastAsia" w:ascii="宋体" w:hAnsi="宋体" w:cs="仿宋"/>
                <w:sz w:val="24"/>
                <w:lang w:val="zh-TW" w:eastAsia="zh-TW"/>
              </w:rPr>
              <w:t>%</w:t>
            </w:r>
          </w:p>
        </w:tc>
        <w:tc>
          <w:tcPr>
            <w:tcW w:w="963" w:type="dxa"/>
            <w:noWrap w:val="0"/>
            <w:vAlign w:val="center"/>
          </w:tcPr>
          <w:p w14:paraId="4DAC7894">
            <w:pPr>
              <w:spacing w:line="360" w:lineRule="auto"/>
              <w:jc w:val="center"/>
              <w:rPr>
                <w:rFonts w:ascii="宋体" w:hAnsi="宋体" w:cs="仿宋"/>
                <w:sz w:val="24"/>
                <w:lang w:val="zh-TW" w:eastAsia="zh-TW"/>
              </w:rPr>
            </w:pPr>
            <w:r>
              <w:rPr>
                <w:rFonts w:ascii="宋体" w:hAnsi="宋体" w:eastAsia="PMingLiU" w:cs="仿宋"/>
                <w:sz w:val="24"/>
                <w:lang w:val="zh-TW" w:eastAsia="zh-TW"/>
              </w:rPr>
              <w:t>3</w:t>
            </w:r>
            <w:r>
              <w:rPr>
                <w:rFonts w:hint="eastAsia" w:ascii="宋体" w:hAnsi="宋体" w:eastAsia="宋体" w:cs="仿宋"/>
                <w:sz w:val="24"/>
                <w:lang w:val="en-US" w:eastAsia="zh-CN"/>
              </w:rPr>
              <w:t>2</w:t>
            </w:r>
            <w:r>
              <w:rPr>
                <w:rFonts w:hint="eastAsia" w:ascii="宋体" w:hAnsi="宋体" w:cs="仿宋"/>
                <w:sz w:val="24"/>
                <w:lang w:val="zh-TW" w:eastAsia="zh-TW"/>
              </w:rPr>
              <w:t>分</w:t>
            </w:r>
          </w:p>
        </w:tc>
        <w:tc>
          <w:tcPr>
            <w:tcW w:w="5557" w:type="dxa"/>
            <w:noWrap w:val="0"/>
            <w:vAlign w:val="center"/>
          </w:tcPr>
          <w:p w14:paraId="2FD3F29C">
            <w:pPr>
              <w:pStyle w:val="8"/>
              <w:ind w:firstLine="240" w:firstLineChars="100"/>
            </w:pPr>
            <w:r>
              <w:rPr>
                <w:rFonts w:hint="eastAsia"/>
              </w:rPr>
              <w:t>据供应商针对本项目提供的项目实施方案，至少包含：①备货及运输方案；②管理制度方案；③人员配置方案；④项目质量方案（含供应商供货质量保证方案、方案中包含完善的进货及出库质量验收方案）；提供上述方案且完全满足本项目采购需求的得</w:t>
            </w:r>
            <w:r>
              <w:t>3</w:t>
            </w:r>
            <w:r>
              <w:rPr>
                <w:rFonts w:hint="eastAsia"/>
                <w:lang w:val="en-US" w:eastAsia="zh-CN"/>
              </w:rPr>
              <w:t>2</w:t>
            </w:r>
            <w:r>
              <w:rPr>
                <w:rFonts w:hint="eastAsia"/>
              </w:rPr>
              <w:t>分。每缺一项扣</w:t>
            </w:r>
            <w:r>
              <w:rPr>
                <w:rFonts w:hint="eastAsia"/>
                <w:lang w:val="en-US" w:eastAsia="zh-CN"/>
              </w:rPr>
              <w:t>8</w:t>
            </w:r>
            <w:r>
              <w:rPr>
                <w:rFonts w:hint="eastAsia"/>
              </w:rPr>
              <w:t>分；上述方案内容每有一处不符合项目实际或这有明显缺陷的扣</w:t>
            </w:r>
            <w:r>
              <w:rPr>
                <w:rFonts w:hint="eastAsia"/>
                <w:lang w:val="en-US" w:eastAsia="zh-CN"/>
              </w:rPr>
              <w:t>4</w:t>
            </w:r>
            <w:r>
              <w:rPr>
                <w:rFonts w:hint="eastAsia"/>
              </w:rPr>
              <w:t>分，扣完为止。【不符合项目实际或有明显缺陷是指：内容与实际情况不符、内容与项目无关、内容表述错误、内容前后表述矛盾、内容凭空编造、逻辑漏洞、科学原理错误以及不可能实现的夸大情形、内容与项目不匹配、项目信息错误（包括时间、地点、名称等）、不符合本项目涉及的相关规范或标准要求等情形。】</w:t>
            </w:r>
          </w:p>
        </w:tc>
        <w:tc>
          <w:tcPr>
            <w:tcW w:w="992" w:type="dxa"/>
            <w:noWrap w:val="0"/>
            <w:vAlign w:val="center"/>
          </w:tcPr>
          <w:p w14:paraId="178E71A6">
            <w:pPr>
              <w:spacing w:line="360" w:lineRule="auto"/>
              <w:jc w:val="center"/>
              <w:rPr>
                <w:rFonts w:ascii="宋体" w:hAnsi="宋体"/>
                <w:sz w:val="24"/>
              </w:rPr>
            </w:pPr>
            <w:r>
              <w:rPr>
                <w:rFonts w:hint="eastAsia" w:ascii="宋体" w:hAnsi="宋体"/>
                <w:sz w:val="24"/>
              </w:rPr>
              <w:t>共同评审因素</w:t>
            </w:r>
          </w:p>
        </w:tc>
      </w:tr>
      <w:tr w14:paraId="78DF1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center"/>
          </w:tcPr>
          <w:p w14:paraId="3480656D">
            <w:pPr>
              <w:spacing w:line="360" w:lineRule="auto"/>
              <w:ind w:firstLine="28"/>
              <w:jc w:val="center"/>
              <w:rPr>
                <w:rFonts w:ascii="宋体" w:hAnsi="宋体"/>
                <w:sz w:val="24"/>
              </w:rPr>
            </w:pPr>
            <w:r>
              <w:rPr>
                <w:rFonts w:hint="eastAsia" w:ascii="宋体" w:hAnsi="宋体"/>
                <w:sz w:val="24"/>
              </w:rPr>
              <w:t>3</w:t>
            </w:r>
          </w:p>
        </w:tc>
        <w:tc>
          <w:tcPr>
            <w:tcW w:w="1276" w:type="dxa"/>
            <w:noWrap w:val="0"/>
            <w:vAlign w:val="center"/>
          </w:tcPr>
          <w:p w14:paraId="5B73C8E6">
            <w:pPr>
              <w:spacing w:line="360" w:lineRule="auto"/>
              <w:jc w:val="center"/>
              <w:rPr>
                <w:rFonts w:ascii="宋体" w:hAnsi="宋体" w:cs="仿宋"/>
                <w:sz w:val="24"/>
                <w:lang w:val="zh-TW"/>
              </w:rPr>
            </w:pPr>
            <w:r>
              <w:rPr>
                <w:rFonts w:hint="eastAsia" w:ascii="宋体" w:hAnsi="宋体" w:cs="仿宋"/>
                <w:sz w:val="24"/>
                <w:lang w:val="zh-TW" w:eastAsia="zh-TW"/>
              </w:rPr>
              <w:t>履约保障</w:t>
            </w:r>
            <w:r>
              <w:rPr>
                <w:rFonts w:ascii="宋体" w:hAnsi="宋体" w:eastAsia="PMingLiU" w:cs="仿宋"/>
                <w:sz w:val="24"/>
                <w:lang w:val="zh-TW" w:eastAsia="zh-TW"/>
              </w:rPr>
              <w:t>4</w:t>
            </w:r>
            <w:r>
              <w:rPr>
                <w:rFonts w:hint="eastAsia" w:ascii="宋体" w:hAnsi="宋体" w:cs="仿宋"/>
                <w:sz w:val="24"/>
                <w:lang w:val="zh-TW"/>
              </w:rPr>
              <w:t>%</w:t>
            </w:r>
          </w:p>
        </w:tc>
        <w:tc>
          <w:tcPr>
            <w:tcW w:w="963" w:type="dxa"/>
            <w:noWrap w:val="0"/>
            <w:vAlign w:val="center"/>
          </w:tcPr>
          <w:p w14:paraId="4744AADB">
            <w:pPr>
              <w:pStyle w:val="8"/>
              <w:ind w:firstLine="240" w:firstLineChars="100"/>
            </w:pPr>
            <w:r>
              <w:t>4</w:t>
            </w:r>
            <w:r>
              <w:rPr>
                <w:rFonts w:hint="eastAsia"/>
              </w:rPr>
              <w:t>分</w:t>
            </w:r>
          </w:p>
        </w:tc>
        <w:tc>
          <w:tcPr>
            <w:tcW w:w="5557" w:type="dxa"/>
            <w:noWrap w:val="0"/>
            <w:vAlign w:val="center"/>
          </w:tcPr>
          <w:p w14:paraId="2F506A08">
            <w:pPr>
              <w:pStyle w:val="8"/>
              <w:ind w:firstLine="240" w:firstLineChars="100"/>
            </w:pPr>
            <w:r>
              <w:rPr>
                <w:rFonts w:hint="eastAsia"/>
              </w:rPr>
              <w:t>1、供应商配备本地化专职配送服务人员，配备人数≥</w:t>
            </w:r>
            <w:r>
              <w:rPr>
                <w:rFonts w:hint="eastAsia"/>
                <w:lang w:val="en-US" w:eastAsia="zh-CN"/>
              </w:rPr>
              <w:t>2</w:t>
            </w:r>
            <w:r>
              <w:rPr>
                <w:rFonts w:hint="eastAsia"/>
              </w:rPr>
              <w:t>人得</w:t>
            </w:r>
            <w:r>
              <w:rPr>
                <w:rFonts w:hint="eastAsia"/>
                <w:lang w:val="en-US" w:eastAsia="zh-CN"/>
              </w:rPr>
              <w:t>4</w:t>
            </w:r>
            <w:r>
              <w:rPr>
                <w:rFonts w:hint="eastAsia"/>
              </w:rPr>
              <w:t>分，</w:t>
            </w:r>
            <w:r>
              <w:rPr>
                <w:rFonts w:hint="eastAsia"/>
                <w:lang w:val="en-US" w:eastAsia="zh-CN"/>
              </w:rPr>
              <w:t>1</w:t>
            </w:r>
            <w:r>
              <w:rPr>
                <w:rFonts w:hint="eastAsia"/>
              </w:rPr>
              <w:t>人得</w:t>
            </w:r>
            <w:r>
              <w:rPr>
                <w:rFonts w:hint="eastAsia"/>
                <w:lang w:val="en-US" w:eastAsia="zh-CN"/>
              </w:rPr>
              <w:t>2</w:t>
            </w:r>
            <w:r>
              <w:rPr>
                <w:rFonts w:hint="eastAsia"/>
              </w:rPr>
              <w:t>分，没有配备不得分。</w:t>
            </w:r>
          </w:p>
          <w:p w14:paraId="2F51A50B">
            <w:pPr>
              <w:pStyle w:val="8"/>
              <w:ind w:firstLine="240" w:firstLineChars="100"/>
            </w:pPr>
            <w:r>
              <w:rPr>
                <w:rFonts w:hint="eastAsia"/>
              </w:rPr>
              <w:t>注：1、提供配备人员名单及在投标单位的工作证明材料并加盖供应商鲜章。</w:t>
            </w:r>
          </w:p>
        </w:tc>
        <w:tc>
          <w:tcPr>
            <w:tcW w:w="992" w:type="dxa"/>
            <w:noWrap w:val="0"/>
            <w:vAlign w:val="center"/>
          </w:tcPr>
          <w:p w14:paraId="7D63800C">
            <w:pPr>
              <w:spacing w:line="360" w:lineRule="auto"/>
              <w:jc w:val="center"/>
              <w:rPr>
                <w:rFonts w:ascii="宋体" w:hAnsi="宋体"/>
                <w:sz w:val="24"/>
              </w:rPr>
            </w:pPr>
            <w:r>
              <w:rPr>
                <w:rFonts w:hint="eastAsia" w:ascii="宋体" w:hAnsi="宋体"/>
                <w:sz w:val="24"/>
              </w:rPr>
              <w:t>共同评审因素</w:t>
            </w:r>
          </w:p>
        </w:tc>
      </w:tr>
      <w:tr w14:paraId="50148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center"/>
          </w:tcPr>
          <w:p w14:paraId="3BCD980F">
            <w:pPr>
              <w:spacing w:line="360" w:lineRule="auto"/>
              <w:ind w:firstLine="28"/>
              <w:jc w:val="center"/>
              <w:rPr>
                <w:rFonts w:ascii="宋体" w:hAnsi="宋体"/>
                <w:sz w:val="24"/>
              </w:rPr>
            </w:pPr>
            <w:r>
              <w:rPr>
                <w:rFonts w:hint="eastAsia" w:ascii="宋体" w:hAnsi="宋体"/>
                <w:sz w:val="24"/>
              </w:rPr>
              <w:t>4</w:t>
            </w:r>
          </w:p>
        </w:tc>
        <w:tc>
          <w:tcPr>
            <w:tcW w:w="1276" w:type="dxa"/>
            <w:noWrap w:val="0"/>
            <w:vAlign w:val="center"/>
          </w:tcPr>
          <w:p w14:paraId="34C51AA0">
            <w:pPr>
              <w:spacing w:line="360" w:lineRule="auto"/>
              <w:jc w:val="center"/>
              <w:rPr>
                <w:rFonts w:ascii="宋体" w:hAnsi="宋体" w:eastAsia="PMingLiU" w:cs="仿宋"/>
                <w:sz w:val="24"/>
                <w:lang w:val="zh-TW" w:eastAsia="zh-TW"/>
              </w:rPr>
            </w:pPr>
            <w:r>
              <w:rPr>
                <w:rFonts w:hint="eastAsia" w:ascii="宋体" w:hAnsi="宋体" w:cs="仿宋"/>
                <w:sz w:val="24"/>
                <w:lang w:val="zh-TW" w:eastAsia="zh-TW"/>
              </w:rPr>
              <w:t>售后服务</w:t>
            </w:r>
            <w:r>
              <w:rPr>
                <w:rFonts w:hint="eastAsia" w:ascii="宋体" w:hAnsi="宋体" w:cs="仿宋"/>
                <w:sz w:val="24"/>
                <w:lang w:val="en-US" w:eastAsia="zh-CN"/>
              </w:rPr>
              <w:t>32</w:t>
            </w:r>
            <w:r>
              <w:rPr>
                <w:rFonts w:hint="eastAsia" w:ascii="宋体" w:hAnsi="宋体" w:cs="仿宋"/>
                <w:sz w:val="24"/>
                <w:lang w:val="zh-TW" w:eastAsia="zh-TW"/>
              </w:rPr>
              <w:t>%</w:t>
            </w:r>
          </w:p>
        </w:tc>
        <w:tc>
          <w:tcPr>
            <w:tcW w:w="963" w:type="dxa"/>
            <w:noWrap w:val="0"/>
            <w:vAlign w:val="center"/>
          </w:tcPr>
          <w:p w14:paraId="24200CB0">
            <w:pPr>
              <w:spacing w:line="360" w:lineRule="auto"/>
              <w:jc w:val="center"/>
              <w:rPr>
                <w:rFonts w:ascii="宋体" w:hAnsi="宋体" w:cs="仿宋"/>
                <w:sz w:val="24"/>
                <w:lang w:val="zh-TW" w:eastAsia="zh-TW"/>
              </w:rPr>
            </w:pPr>
            <w:r>
              <w:rPr>
                <w:rFonts w:hint="eastAsia" w:ascii="宋体" w:hAnsi="宋体" w:cs="仿宋"/>
                <w:sz w:val="24"/>
                <w:lang w:val="en-US" w:eastAsia="zh-CN"/>
              </w:rPr>
              <w:t>32</w:t>
            </w:r>
            <w:r>
              <w:rPr>
                <w:rFonts w:hint="eastAsia" w:ascii="宋体" w:hAnsi="宋体" w:cs="仿宋"/>
                <w:sz w:val="24"/>
                <w:lang w:val="zh-TW" w:eastAsia="zh-TW"/>
              </w:rPr>
              <w:t>分</w:t>
            </w:r>
          </w:p>
        </w:tc>
        <w:tc>
          <w:tcPr>
            <w:tcW w:w="5557" w:type="dxa"/>
            <w:noWrap w:val="0"/>
            <w:vAlign w:val="center"/>
          </w:tcPr>
          <w:p w14:paraId="4D54ED98">
            <w:pPr>
              <w:pStyle w:val="8"/>
              <w:ind w:firstLine="240" w:firstLineChars="100"/>
            </w:pPr>
            <w:r>
              <w:rPr>
                <w:rFonts w:hint="eastAsia"/>
              </w:rPr>
              <w:t>根据供应商提供的售后服务方案进行评审，内容包含但不限于：①售后服务方式、响应时间（有明确的售后服务的组织架构、响应时间不超过</w:t>
            </w:r>
            <w:r>
              <w:t>2</w:t>
            </w:r>
            <w:r>
              <w:rPr>
                <w:rFonts w:hint="eastAsia"/>
              </w:rPr>
              <w:t>小时）；②应急方案（应急预案）；③现场服务支持能力、售后巡检、售后服务人员、售后培训计划；④售后服务机构地址、联系方式以及备品备件目录。提供上述方案且完全满足本项目采购需求的得</w:t>
            </w:r>
            <w:r>
              <w:rPr>
                <w:rFonts w:hint="eastAsia"/>
                <w:lang w:val="en-US" w:eastAsia="zh-CN"/>
              </w:rPr>
              <w:t>32</w:t>
            </w:r>
            <w:r>
              <w:rPr>
                <w:rFonts w:hint="eastAsia"/>
              </w:rPr>
              <w:t>分。每缺一项扣</w:t>
            </w:r>
            <w:r>
              <w:rPr>
                <w:rFonts w:hint="eastAsia"/>
                <w:lang w:val="en-US" w:eastAsia="zh-CN"/>
              </w:rPr>
              <w:t>8</w:t>
            </w:r>
            <w:r>
              <w:rPr>
                <w:rFonts w:hint="eastAsia"/>
              </w:rPr>
              <w:t>分；上述方案内容每有一处不符合项目实际或这有明显缺陷的扣</w:t>
            </w:r>
            <w:r>
              <w:rPr>
                <w:rFonts w:hint="eastAsia"/>
                <w:lang w:val="en-US" w:eastAsia="zh-CN"/>
              </w:rPr>
              <w:t>4</w:t>
            </w:r>
            <w:r>
              <w:rPr>
                <w:rFonts w:hint="eastAsia"/>
              </w:rPr>
              <w:t>分，扣完为止。【不符合项目实际或有明显缺陷是指：内容与实际情况不符、内容与项目无关、内容表述错误、内容前后表述矛盾、内容凭空编造、逻辑漏洞、科学原理错误以及不可能实现的夸大情形、内容与项目不匹配、项目信息错误（包括时间、地点、名称等）、不符合本项目涉及的相关规范或标准要求等情形。】</w:t>
            </w:r>
          </w:p>
        </w:tc>
        <w:tc>
          <w:tcPr>
            <w:tcW w:w="992" w:type="dxa"/>
            <w:noWrap w:val="0"/>
            <w:vAlign w:val="center"/>
          </w:tcPr>
          <w:p w14:paraId="36A056A2">
            <w:pPr>
              <w:spacing w:line="360" w:lineRule="auto"/>
              <w:jc w:val="center"/>
              <w:rPr>
                <w:rFonts w:ascii="宋体" w:hAnsi="宋体"/>
                <w:sz w:val="24"/>
              </w:rPr>
            </w:pPr>
            <w:r>
              <w:rPr>
                <w:rFonts w:hint="eastAsia" w:ascii="宋体" w:hAnsi="宋体"/>
                <w:sz w:val="24"/>
              </w:rPr>
              <w:t>技术评审因素</w:t>
            </w:r>
          </w:p>
        </w:tc>
      </w:tr>
      <w:tr w14:paraId="5F137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center"/>
          </w:tcPr>
          <w:p w14:paraId="3D98CEF0">
            <w:pPr>
              <w:spacing w:line="360" w:lineRule="auto"/>
              <w:jc w:val="center"/>
              <w:rPr>
                <w:rFonts w:ascii="宋体" w:hAnsi="宋体"/>
                <w:sz w:val="24"/>
              </w:rPr>
            </w:pPr>
            <w:r>
              <w:rPr>
                <w:rFonts w:hint="eastAsia" w:ascii="宋体" w:hAnsi="宋体"/>
                <w:sz w:val="24"/>
              </w:rPr>
              <w:t>5</w:t>
            </w:r>
          </w:p>
        </w:tc>
        <w:tc>
          <w:tcPr>
            <w:tcW w:w="1276" w:type="dxa"/>
            <w:noWrap w:val="0"/>
            <w:vAlign w:val="center"/>
          </w:tcPr>
          <w:p w14:paraId="10266951">
            <w:pPr>
              <w:spacing w:line="360" w:lineRule="auto"/>
              <w:jc w:val="center"/>
              <w:rPr>
                <w:rFonts w:ascii="宋体" w:hAnsi="宋体" w:cs="仿宋"/>
                <w:sz w:val="24"/>
                <w:lang w:val="zh-TW"/>
              </w:rPr>
            </w:pPr>
            <w:r>
              <w:rPr>
                <w:rFonts w:hint="eastAsia" w:ascii="宋体" w:hAnsi="宋体" w:cs="仿宋"/>
                <w:sz w:val="24"/>
                <w:lang w:val="zh-TW" w:eastAsia="zh-TW"/>
              </w:rPr>
              <w:t>履约经验</w:t>
            </w:r>
            <w:r>
              <w:rPr>
                <w:rFonts w:ascii="宋体" w:hAnsi="宋体" w:eastAsia="PMingLiU" w:cs="仿宋"/>
                <w:sz w:val="24"/>
                <w:lang w:val="zh-TW" w:eastAsia="zh-TW"/>
              </w:rPr>
              <w:t>2</w:t>
            </w:r>
            <w:r>
              <w:rPr>
                <w:rFonts w:hint="eastAsia" w:ascii="宋体" w:hAnsi="宋体" w:cs="仿宋"/>
                <w:sz w:val="24"/>
                <w:lang w:val="zh-TW"/>
              </w:rPr>
              <w:t>%</w:t>
            </w:r>
          </w:p>
        </w:tc>
        <w:tc>
          <w:tcPr>
            <w:tcW w:w="963" w:type="dxa"/>
            <w:noWrap w:val="0"/>
            <w:vAlign w:val="center"/>
          </w:tcPr>
          <w:p w14:paraId="5DC514F2">
            <w:pPr>
              <w:spacing w:line="360" w:lineRule="auto"/>
              <w:jc w:val="center"/>
              <w:rPr>
                <w:rFonts w:ascii="宋体" w:hAnsi="宋体" w:cs="仿宋"/>
                <w:sz w:val="24"/>
                <w:lang w:val="zh-TW" w:eastAsia="zh-TW"/>
              </w:rPr>
            </w:pPr>
            <w:r>
              <w:rPr>
                <w:rFonts w:ascii="宋体" w:hAnsi="宋体" w:eastAsia="PMingLiU" w:cs="仿宋"/>
                <w:sz w:val="24"/>
                <w:lang w:val="zh-TW" w:eastAsia="zh-TW"/>
              </w:rPr>
              <w:t>2</w:t>
            </w:r>
            <w:r>
              <w:rPr>
                <w:rFonts w:hint="eastAsia" w:ascii="宋体" w:hAnsi="宋体" w:cs="仿宋"/>
                <w:sz w:val="24"/>
                <w:lang w:val="zh-TW" w:eastAsia="zh-TW"/>
              </w:rPr>
              <w:t>分</w:t>
            </w:r>
          </w:p>
        </w:tc>
        <w:tc>
          <w:tcPr>
            <w:tcW w:w="5557" w:type="dxa"/>
            <w:noWrap w:val="0"/>
            <w:vAlign w:val="center"/>
          </w:tcPr>
          <w:p w14:paraId="64D26949">
            <w:pPr>
              <w:pStyle w:val="8"/>
              <w:ind w:firstLine="240" w:firstLineChars="100"/>
              <w:jc w:val="both"/>
            </w:pPr>
            <w:r>
              <w:rPr>
                <w:rFonts w:hint="eastAsia"/>
              </w:rPr>
              <w:t>供应商自2020年1月1日起，有类似项目履约经验的，每提供一个得</w:t>
            </w:r>
            <w:r>
              <w:t>1</w:t>
            </w:r>
            <w:r>
              <w:rPr>
                <w:rFonts w:hint="eastAsia"/>
              </w:rPr>
              <w:t>分，最多得</w:t>
            </w:r>
            <w:r>
              <w:t>2</w:t>
            </w:r>
            <w:r>
              <w:rPr>
                <w:rFonts w:hint="eastAsia"/>
              </w:rPr>
              <w:t>分。</w:t>
            </w:r>
          </w:p>
          <w:p w14:paraId="423EB580">
            <w:pPr>
              <w:pStyle w:val="8"/>
              <w:ind w:firstLine="240" w:firstLineChars="100"/>
              <w:jc w:val="both"/>
            </w:pPr>
            <w:r>
              <w:rPr>
                <w:rFonts w:hint="eastAsia"/>
              </w:rPr>
              <w:t>注：提供中标（选）/成交通知书或合同复印件。</w:t>
            </w:r>
          </w:p>
        </w:tc>
        <w:tc>
          <w:tcPr>
            <w:tcW w:w="992" w:type="dxa"/>
            <w:noWrap w:val="0"/>
            <w:vAlign w:val="center"/>
          </w:tcPr>
          <w:p w14:paraId="1A306FF0">
            <w:pPr>
              <w:spacing w:line="360" w:lineRule="auto"/>
              <w:jc w:val="center"/>
              <w:rPr>
                <w:rFonts w:ascii="宋体" w:hAnsi="宋体"/>
                <w:sz w:val="24"/>
              </w:rPr>
            </w:pPr>
            <w:r>
              <w:rPr>
                <w:rFonts w:hint="eastAsia" w:ascii="宋体" w:hAnsi="宋体"/>
                <w:sz w:val="24"/>
              </w:rPr>
              <w:t>共同评审因素</w:t>
            </w:r>
          </w:p>
        </w:tc>
      </w:tr>
    </w:tbl>
    <w:p w14:paraId="51010D24">
      <w:pPr>
        <w:spacing w:line="360" w:lineRule="auto"/>
        <w:jc w:val="center"/>
        <w:rPr>
          <w:rFonts w:ascii="Times New Roman" w:hAnsi="Times New Roman" w:cs="Times New Roman"/>
          <w:b/>
          <w:sz w:val="28"/>
          <w:szCs w:val="28"/>
          <w:highlight w:val="none"/>
        </w:rPr>
      </w:pPr>
      <w:r>
        <w:rPr>
          <w:rFonts w:ascii="Times New Roman" w:hAnsi="Times New Roman" w:cs="Times New Roman"/>
          <w:b/>
          <w:sz w:val="28"/>
          <w:szCs w:val="28"/>
          <w:highlight w:val="none"/>
        </w:rPr>
        <w:t>第四章 响应文件要求</w:t>
      </w:r>
    </w:p>
    <w:p w14:paraId="750440D7">
      <w:pPr>
        <w:spacing w:line="360" w:lineRule="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一、比选申请函（格式自拟）；</w:t>
      </w:r>
    </w:p>
    <w:p w14:paraId="49DEB7C6">
      <w:pPr>
        <w:spacing w:line="360" w:lineRule="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二、报价表（格式自拟）；</w:t>
      </w:r>
    </w:p>
    <w:p w14:paraId="3380EFD3">
      <w:pPr>
        <w:spacing w:line="360" w:lineRule="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三、符合《政府采购法》第二十二条的证明材料及相关的承诺函；</w:t>
      </w:r>
    </w:p>
    <w:p w14:paraId="5C8461E9">
      <w:pPr>
        <w:spacing w:line="360" w:lineRule="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四、特定要求（资格）证明文件； </w:t>
      </w:r>
    </w:p>
    <w:p w14:paraId="78F1DAAD">
      <w:pPr>
        <w:spacing w:line="360" w:lineRule="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五、法定代表人授权委托书（法定代表人本人参加的，不提交）；</w:t>
      </w:r>
    </w:p>
    <w:p w14:paraId="54E60C99">
      <w:pPr>
        <w:spacing w:line="360" w:lineRule="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六、服务要求及商务要求响应文件；</w:t>
      </w:r>
    </w:p>
    <w:p w14:paraId="298E4BCA">
      <w:pPr>
        <w:spacing w:line="360" w:lineRule="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七、其他证明材料</w:t>
      </w:r>
      <w:r>
        <w:rPr>
          <w:rFonts w:hint="eastAsia" w:ascii="方正仿宋_GBK" w:hAnsi="方正仿宋_GBK" w:eastAsia="方正仿宋_GBK" w:cs="方正仿宋_GBK"/>
          <w:sz w:val="28"/>
          <w:szCs w:val="28"/>
          <w:highlight w:val="none"/>
          <w:lang w:eastAsia="zh-CN"/>
        </w:rPr>
        <w:t>（如有）</w:t>
      </w:r>
      <w:r>
        <w:rPr>
          <w:rFonts w:hint="eastAsia" w:ascii="方正仿宋_GBK" w:hAnsi="方正仿宋_GBK" w:eastAsia="方正仿宋_GBK" w:cs="方正仿宋_GBK"/>
          <w:sz w:val="28"/>
          <w:szCs w:val="28"/>
          <w:highlight w:val="none"/>
        </w:rPr>
        <w:t>。</w:t>
      </w:r>
    </w:p>
    <w:p w14:paraId="7454C1C0">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highlight w:val="none"/>
        </w:rPr>
        <w:t xml:space="preserve">    供应商应保证所提交材料的合法性、真实性和有效性。响应文件需提交正本一份，密封并加盖公章。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094109"/>
    <w:multiLevelType w:val="singleLevel"/>
    <w:tmpl w:val="8B094109"/>
    <w:lvl w:ilvl="0" w:tentative="0">
      <w:start w:val="1"/>
      <w:numFmt w:val="decimal"/>
      <w:lvlText w:val="%1."/>
      <w:lvlJc w:val="left"/>
      <w:pPr>
        <w:tabs>
          <w:tab w:val="left" w:pos="312"/>
        </w:tabs>
      </w:pPr>
    </w:lvl>
  </w:abstractNum>
  <w:abstractNum w:abstractNumId="1">
    <w:nsid w:val="29D28C6E"/>
    <w:multiLevelType w:val="singleLevel"/>
    <w:tmpl w:val="29D28C6E"/>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4E0A41"/>
    <w:rsid w:val="0E63197E"/>
    <w:rsid w:val="0EBA2E73"/>
    <w:rsid w:val="10190546"/>
    <w:rsid w:val="12135469"/>
    <w:rsid w:val="12305059"/>
    <w:rsid w:val="17C26622"/>
    <w:rsid w:val="18BA01B9"/>
    <w:rsid w:val="1BE10441"/>
    <w:rsid w:val="1D2B2219"/>
    <w:rsid w:val="24C855D5"/>
    <w:rsid w:val="27265366"/>
    <w:rsid w:val="32633D3E"/>
    <w:rsid w:val="33694A91"/>
    <w:rsid w:val="40C969C8"/>
    <w:rsid w:val="40D914A8"/>
    <w:rsid w:val="4B0515A5"/>
    <w:rsid w:val="4D2521B8"/>
    <w:rsid w:val="4FB76D19"/>
    <w:rsid w:val="5A54172C"/>
    <w:rsid w:val="5F1310D4"/>
    <w:rsid w:val="5F1D47FE"/>
    <w:rsid w:val="60BD4284"/>
    <w:rsid w:val="67A14600"/>
    <w:rsid w:val="73CD0283"/>
    <w:rsid w:val="7DB421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annotation text"/>
    <w:basedOn w:val="1"/>
    <w:qFormat/>
    <w:uiPriority w:val="0"/>
    <w:pPr>
      <w:jc w:val="left"/>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无间隔1"/>
    <w:basedOn w:val="1"/>
    <w:qFormat/>
    <w:uiPriority w:val="99"/>
    <w:pPr>
      <w:spacing w:line="400" w:lineRule="exact"/>
    </w:pPr>
    <w:rPr>
      <w:sz w:val="24"/>
    </w:rPr>
  </w:style>
  <w:style w:type="paragraph" w:customStyle="1" w:styleId="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2823</Words>
  <Characters>2943</Characters>
  <Lines>0</Lines>
  <Paragraphs>0</Paragraphs>
  <TotalTime>8</TotalTime>
  <ScaleCrop>false</ScaleCrop>
  <LinksUpToDate>false</LinksUpToDate>
  <CharactersWithSpaces>2965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2024-10-29T10:11:00Z</dcterms:created>
  <dc:creator>LENOVO</dc:creator>
  <cp:lastModifiedBy>gym</cp:lastModifiedBy>
  <cp:lastPrinted>2024-11-08T08:14:00Z</cp:lastPrinted>
  <dcterms:modified xsi:type="dcterms:W3CDTF">2025-03-07T08:43:23Z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F7B207CEB7B04D339A51835CF202C603_13</vt:lpwstr>
  </property>
  <property fmtid="{D5CDD505-2E9C-101B-9397-08002B2CF9AE}" pid="4" name="KSOTemplateDocerSaveRecord">
    <vt:lpwstr>eyJoZGlkIjoiMTQwYTdmNjIwN2ZhNDZkMjQyY2RhZjVkZWZhNjc0ZTIiLCJ1c2VySWQiOiIxNjY3MTM0MTY4In0=</vt:lpwstr>
  </property>
</Properties>
</file>