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危废转运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服务比选文件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（第二次）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危废转运</w:t>
      </w:r>
      <w:r>
        <w:rPr>
          <w:rFonts w:hint="eastAsia" w:ascii="Times New Roman" w:hAnsi="Times New Roman" w:cs="Times New Roman"/>
          <w:sz w:val="28"/>
          <w:szCs w:val="28"/>
        </w:rPr>
        <w:t>服务。</w:t>
      </w:r>
    </w:p>
    <w:p w14:paraId="69C770A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公司营业执照上需具有转运和处置化学性废物、废活性炭及污水检测废液等危险废物的资质。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36B4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1.根据国家《医疗废物管理条例》、GB18466-2005《医疗机构水污染排放标准》、《国家危险废物名录》（2021 年版）、《医疗废物分类目录》（卫医发〔2003〕287 号）的规定，化学性废物、废活性炭及污水检测废液等危险废物，需按环保要求进行合法、合规处置并生成《危险废物电子转移联单》。</w:t>
      </w:r>
    </w:p>
    <w:p w14:paraId="36F8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2.在医院内转运时必须沿医院指定的污物通道内进行转运，转运完成后由供应商负责现场清洁卫生。</w:t>
      </w:r>
    </w:p>
    <w:p w14:paraId="1AB7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3.能保证医疗危险废物密封转运，医疗危险废物若洒落地面必须及时清洁并按规范进行处理。因院内泄露的医疗废物造成人员伤亡的，由供应商承担全部责任。</w:t>
      </w:r>
    </w:p>
    <w:p w14:paraId="782F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4.转运出医院的医疗危险废物按照符合国家环保要求的方式进行处置。</w:t>
      </w:r>
    </w:p>
    <w:p w14:paraId="08DF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5.合同签订后10日内完成转运。</w:t>
      </w:r>
    </w:p>
    <w:p w14:paraId="30A34F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最高限价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45"/>
        <w:gridCol w:w="1227"/>
        <w:gridCol w:w="774"/>
        <w:gridCol w:w="1205"/>
        <w:gridCol w:w="1177"/>
        <w:gridCol w:w="1333"/>
        <w:gridCol w:w="938"/>
      </w:tblGrid>
      <w:tr w14:paraId="47A2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73F7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9C66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废物代码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CE0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危废名称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556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形态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7E3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预计处置量（kg）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7388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单价限价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（元/kg）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E46C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预计处置费（元）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CF4F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D25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5BD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98A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841-004-01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1A3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化学性废液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7E0B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45B9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8BBE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149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FC7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3E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CE0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A1C6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900-039-49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F7D8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5DA5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固体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64E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33FE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10D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DF5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1B9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0B1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F5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900-047-49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DF8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在线监测废液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03B0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023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121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CE8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5C0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A57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047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6082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运输费限价：1000元/次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FDD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</w:tbl>
    <w:p w14:paraId="74FF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（三）商务要求（实质性要求）</w:t>
      </w:r>
    </w:p>
    <w:p w14:paraId="69720F1C">
      <w:pPr>
        <w:spacing w:line="240" w:lineRule="atLeast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项目验收合格并提供有效发票及相关凭证后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30日内支付合同金额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报价要求：本项目报价按照清单单价限价进行统一下浮报价，即：单价实际结算价＝单价最高限价×（1-统一下浮率）。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28C6E"/>
    <w:multiLevelType w:val="singleLevel"/>
    <w:tmpl w:val="29D28C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0A41"/>
    <w:rsid w:val="07551F1D"/>
    <w:rsid w:val="12305059"/>
    <w:rsid w:val="17C26622"/>
    <w:rsid w:val="1EAD7030"/>
    <w:rsid w:val="2FBA710F"/>
    <w:rsid w:val="40D914A8"/>
    <w:rsid w:val="4B0515A5"/>
    <w:rsid w:val="4FB76D19"/>
    <w:rsid w:val="5F1D47FE"/>
    <w:rsid w:val="69225CCB"/>
    <w:rsid w:val="7CE0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1024</Characters>
  <Lines>0</Lines>
  <Paragraphs>0</Paragraphs>
  <TotalTime>6</TotalTime>
  <ScaleCrop>false</ScaleCrop>
  <LinksUpToDate>false</LinksUpToDate>
  <CharactersWithSpaces>1033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gym</cp:lastModifiedBy>
  <cp:lastPrinted>2024-11-08T08:14:00Z</cp:lastPrinted>
  <dcterms:modified xsi:type="dcterms:W3CDTF">2025-03-04T08:25:37Z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E3F2024EB82240EEB1295CAA321294FE_13</vt:lpwstr>
  </property>
  <property fmtid="{D5CDD505-2E9C-101B-9397-08002B2CF9AE}" pid="4" name="KSOTemplateDocerSaveRecord">
    <vt:lpwstr>eyJoZGlkIjoiMTQwYTdmNjIwN2ZhNDZkMjQyY2RhZjVkZWZhNjc0ZTIiLCJ1c2VySWQiOiIxNjY3MTM0MTY4In0=</vt:lpwstr>
  </property>
</Properties>
</file>