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832B0"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bCs/>
          <w:sz w:val="44"/>
          <w:szCs w:val="44"/>
        </w:rPr>
        <w:t>成都市龙泉驿区中医医院</w:t>
      </w:r>
    </w:p>
    <w:p w14:paraId="4EB29E1D">
      <w:pPr>
        <w:spacing w:line="578" w:lineRule="exact"/>
        <w:jc w:val="center"/>
        <w:outlineLvl w:val="0"/>
        <w:rPr>
          <w:rFonts w:hint="eastAsia"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信用就医微信接口改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造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服务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（第二次）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比选文件</w:t>
      </w:r>
    </w:p>
    <w:p w14:paraId="6103E6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第一章 比选要求</w:t>
      </w:r>
    </w:p>
    <w:p w14:paraId="018118EF">
      <w:pPr>
        <w:spacing w:line="360" w:lineRule="auto"/>
        <w:ind w:firstLine="562" w:firstLineChars="20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一、项目概况</w:t>
      </w:r>
    </w:p>
    <w:p w14:paraId="2309C9E6">
      <w:pPr>
        <w:spacing w:line="578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1.根据业务需要采购信用就医微信接口改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造</w:t>
      </w:r>
      <w:r>
        <w:rPr>
          <w:rFonts w:hint="eastAsia" w:ascii="Times New Roman" w:hAnsi="Times New Roman" w:cs="Times New Roman"/>
          <w:sz w:val="28"/>
          <w:szCs w:val="28"/>
        </w:rPr>
        <w:t>服务。</w:t>
      </w:r>
    </w:p>
    <w:p w14:paraId="69C770A8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2.项目预算：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7.5</w:t>
      </w:r>
      <w:r>
        <w:rPr>
          <w:rFonts w:hint="eastAsia" w:ascii="Times New Roman" w:hAnsi="Times New Roman" w:cs="Times New Roman"/>
          <w:sz w:val="28"/>
          <w:szCs w:val="28"/>
        </w:rPr>
        <w:t>万元</w:t>
      </w:r>
    </w:p>
    <w:p w14:paraId="309C847B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3.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改造</w:t>
      </w:r>
      <w:r>
        <w:rPr>
          <w:rFonts w:hint="eastAsia" w:ascii="Times New Roman" w:hAnsi="Times New Roman" w:cs="Times New Roman"/>
          <w:sz w:val="28"/>
          <w:szCs w:val="28"/>
        </w:rPr>
        <w:t>期限：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15天</w:t>
      </w:r>
    </w:p>
    <w:p w14:paraId="1722E3E0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二、比选报名</w:t>
      </w:r>
    </w:p>
    <w:p w14:paraId="2678A552">
      <w:pPr>
        <w:spacing w:line="360" w:lineRule="auto"/>
        <w:ind w:firstLine="281" w:firstLineChars="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（一）供应商报名条件</w:t>
      </w:r>
    </w:p>
    <w:p w14:paraId="3070317A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1．符合《中华人民共和国政府采购法》第二十二条之规定，具体如下：</w:t>
      </w:r>
    </w:p>
    <w:p w14:paraId="79BDCF3E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具有独立承担民事责任的能力；</w:t>
      </w:r>
    </w:p>
    <w:p w14:paraId="64E85373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具有良好的商业信誉和健全的财务会计制度；</w:t>
      </w:r>
    </w:p>
    <w:p w14:paraId="26925BED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有依法缴纳税收和社会保障资金的良好记录；</w:t>
      </w:r>
    </w:p>
    <w:p w14:paraId="4287394C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参加政府采购活动前三年内，在经营活动中没有重大违法记录；</w:t>
      </w:r>
    </w:p>
    <w:p w14:paraId="683D0C72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法律、行政法规规定的其他条件。</w:t>
      </w:r>
    </w:p>
    <w:p w14:paraId="033D6D30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2．本项目不接受联合体参加比选。</w:t>
      </w:r>
    </w:p>
    <w:p w14:paraId="7240A001">
      <w:pPr>
        <w:spacing w:line="360" w:lineRule="auto"/>
        <w:ind w:firstLine="560" w:firstLineChars="200"/>
        <w:rPr>
          <w:rFonts w:hint="eastAsia" w:ascii="Times New Roman" w:hAnsi="Times New Roman" w:cs="Times New Roman" w:eastAsiaTheme="minorEastAsia"/>
          <w:strike/>
          <w:dstrike w:val="0"/>
          <w:color w:val="0000FF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3．本项目特定要求：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无</w:t>
      </w:r>
    </w:p>
    <w:p w14:paraId="7A7B031A">
      <w:pPr>
        <w:spacing w:line="360" w:lineRule="auto"/>
        <w:ind w:firstLine="281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（二）报名要求</w:t>
      </w:r>
      <w:r>
        <w:rPr>
          <w:rFonts w:ascii="Times New Roman" w:hAnsi="Times New Roman" w:cs="Times New Roman"/>
          <w:sz w:val="28"/>
          <w:szCs w:val="28"/>
        </w:rPr>
        <w:t>：</w:t>
      </w:r>
    </w:p>
    <w:p w14:paraId="35AC6245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按要求时间提交响应文件视为报名。</w:t>
      </w:r>
    </w:p>
    <w:p w14:paraId="2EA7310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三、比选文件领取方式</w:t>
      </w:r>
    </w:p>
    <w:p w14:paraId="7CEB385A"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通过医院官网下载比选文件。</w:t>
      </w:r>
    </w:p>
    <w:p w14:paraId="6DE10E21"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四、响应文件接收时间和地点</w:t>
      </w:r>
    </w:p>
    <w:p w14:paraId="4EDE8A87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文件递交时间：2024年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12</w:t>
      </w:r>
      <w:r>
        <w:rPr>
          <w:rFonts w:ascii="Times New Roman" w:hAnsi="Times New Roman" w:eastAsia="宋体" w:cs="Times New Roman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26</w:t>
      </w:r>
      <w:r>
        <w:rPr>
          <w:rFonts w:ascii="Times New Roman" w:hAnsi="Times New Roman" w:eastAsia="宋体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09:00</w:t>
      </w:r>
      <w:r>
        <w:rPr>
          <w:rFonts w:ascii="Times New Roman" w:hAnsi="Times New Roman" w:eastAsia="方正仿宋_GBK" w:cs="Times New Roman"/>
          <w:sz w:val="28"/>
          <w:szCs w:val="28"/>
        </w:rPr>
        <w:t>-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09</w:t>
      </w:r>
      <w:r>
        <w:rPr>
          <w:rFonts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3</w:t>
      </w:r>
      <w:r>
        <w:rPr>
          <w:rFonts w:ascii="Times New Roman" w:hAnsi="Times New Roman" w:eastAsia="方正仿宋_GBK" w:cs="Times New Roman"/>
          <w:sz w:val="28"/>
          <w:szCs w:val="28"/>
        </w:rPr>
        <w:t>0</w:t>
      </w:r>
    </w:p>
    <w:p w14:paraId="7F80A032"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文件接收地点：成都市龙泉驿区青台山路222号</w:t>
      </w:r>
    </w:p>
    <w:p w14:paraId="634CE707">
      <w:pPr>
        <w:spacing w:line="360" w:lineRule="auto"/>
        <w:ind w:left="1984" w:leftChars="945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sz w:val="28"/>
          <w:szCs w:val="28"/>
        </w:rPr>
        <w:t>成都市龙泉驿区中医医院门诊5楼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招标办公室</w:t>
      </w:r>
    </w:p>
    <w:p w14:paraId="4F531233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联系人：董老师</w:t>
      </w:r>
    </w:p>
    <w:p w14:paraId="77379261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联系方式：028-60659207</w:t>
      </w:r>
    </w:p>
    <w:p w14:paraId="550CC2B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五、比选时间、地点及方式</w:t>
      </w:r>
    </w:p>
    <w:p w14:paraId="69B116E2"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比选时间：2024年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12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26</w:t>
      </w:r>
      <w:r>
        <w:rPr>
          <w:rFonts w:ascii="Times New Roman" w:hAnsi="Times New Roman" w:cs="Times New Roman"/>
          <w:sz w:val="28"/>
          <w:szCs w:val="28"/>
        </w:rPr>
        <w:t>日</w:t>
      </w:r>
      <w:r>
        <w:rPr>
          <w:rFonts w:hint="eastAsia" w:ascii="Times New Roman" w:hAnsi="Times New Roman" w:cs="Times New Roman"/>
          <w:sz w:val="28"/>
          <w:szCs w:val="28"/>
        </w:rPr>
        <w:t>上</w:t>
      </w:r>
      <w:r>
        <w:rPr>
          <w:rFonts w:ascii="Times New Roman" w:hAnsi="Times New Roman" w:cs="Times New Roman"/>
          <w:sz w:val="28"/>
          <w:szCs w:val="28"/>
        </w:rPr>
        <w:t>午</w:t>
      </w:r>
    </w:p>
    <w:p w14:paraId="7DB4D38F"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比选地点：成都市龙泉驿区中医医院会议室</w:t>
      </w:r>
    </w:p>
    <w:p w14:paraId="367A052E">
      <w:pPr>
        <w:spacing w:line="360" w:lineRule="auto"/>
        <w:ind w:firstLine="280" w:firstLineChars="100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比选方式：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最低评标价法</w:t>
      </w:r>
    </w:p>
    <w:p w14:paraId="65E8A7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第二章 </w:t>
      </w: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技术</w:t>
      </w:r>
      <w:r>
        <w:rPr>
          <w:rFonts w:ascii="Times New Roman" w:hAnsi="Times New Roman" w:cs="Times New Roman"/>
          <w:b/>
          <w:sz w:val="28"/>
          <w:szCs w:val="28"/>
        </w:rPr>
        <w:t>和</w:t>
      </w:r>
      <w:r>
        <w:rPr>
          <w:rFonts w:hint="eastAsia" w:ascii="Times New Roman" w:hAnsi="Times New Roman" w:cs="Times New Roman"/>
          <w:b/>
          <w:sz w:val="28"/>
          <w:szCs w:val="28"/>
        </w:rPr>
        <w:t>服务</w:t>
      </w:r>
      <w:r>
        <w:rPr>
          <w:rFonts w:ascii="Times New Roman" w:hAnsi="Times New Roman" w:cs="Times New Roman"/>
          <w:b/>
          <w:sz w:val="28"/>
          <w:szCs w:val="28"/>
        </w:rPr>
        <w:t>要求</w:t>
      </w:r>
    </w:p>
    <w:p w14:paraId="06ED38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（一）服务要求（实质性要求）</w:t>
      </w:r>
    </w:p>
    <w:p w14:paraId="4A2CD62A">
      <w:pP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1、微信小程序改造：签约改造—患者进入医院公众号小程序—点击按钮跳转交通银行小程序—患者确定使用信用就医权限。</w:t>
      </w:r>
    </w:p>
    <w:p w14:paraId="3502A36F">
      <w:pP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2、挂号缴费线上开发：确权后，患者在微信端门诊挂号、门诊缴费、住院预缴金能使用信用就医支付。</w:t>
      </w:r>
    </w:p>
    <w:p w14:paraId="05BB1BF0">
      <w:pP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3、信用就医原路退款开发：移动端只支持挂号的信用支付原路退回，门诊缴费和住院预缴金的信用支付只能线下退款。</w:t>
      </w:r>
    </w:p>
    <w:p w14:paraId="194B0D7C">
      <w:pP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4、信用就医对账：在对账平台上对信用就医的HIS端支付情况和交行端账号的账目进行对账，有异常会及时在对账平台上提示。</w:t>
      </w:r>
    </w:p>
    <w:p w14:paraId="5B89102F">
      <w:pP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5、按照“信用就医”相关红头文件要求完成线上系统改造等。</w:t>
      </w:r>
    </w:p>
    <w:p w14:paraId="08DFCB70">
      <w:pPr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6、合同签订后15日内完成改造。</w:t>
      </w:r>
    </w:p>
    <w:p w14:paraId="74FF98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（二）商务要求（实质性要求）</w:t>
      </w:r>
    </w:p>
    <w:p w14:paraId="69720F1C">
      <w:pPr>
        <w:spacing w:line="240" w:lineRule="atLeast"/>
        <w:ind w:firstLine="560" w:firstLineChars="200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付款方式：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项目验收合格并提供有效发票及相关凭证后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30日内支付合同金额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 w14:paraId="67C19840">
      <w:pPr>
        <w:spacing w:line="240" w:lineRule="atLeast"/>
        <w:ind w:firstLine="560" w:firstLineChars="200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报价要求：本项目报价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不得超过预算金额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 w14:paraId="351CB2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第三章  比选程序及评审标准</w:t>
      </w:r>
    </w:p>
    <w:p w14:paraId="0BFA7C3A">
      <w:pPr>
        <w:spacing w:line="360" w:lineRule="auto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一、</w:t>
      </w:r>
      <w:r>
        <w:rPr>
          <w:rFonts w:ascii="Times New Roman" w:hAnsi="Times New Roman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 w14:paraId="16F81C74">
      <w:pPr>
        <w:spacing w:line="360" w:lineRule="auto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</w:t>
      </w:r>
      <w:r>
        <w:rPr>
          <w:rFonts w:ascii="Times New Roman" w:hAnsi="Times New Roman" w:cs="Times New Roman"/>
          <w:sz w:val="28"/>
          <w:szCs w:val="28"/>
        </w:rPr>
        <w:t>、评选委员会根据评审要求对供应商申报材料进行评审，按</w:t>
      </w:r>
      <w:r>
        <w:rPr>
          <w:rFonts w:hint="eastAsia" w:ascii="Times New Roman" w:hAnsi="Times New Roman" w:cs="Times New Roman"/>
          <w:sz w:val="28"/>
          <w:szCs w:val="28"/>
        </w:rPr>
        <w:t>综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报价又低到高</w:t>
      </w:r>
      <w:r>
        <w:rPr>
          <w:rFonts w:ascii="Times New Roman" w:hAnsi="Times New Roman" w:cs="Times New Roman"/>
          <w:sz w:val="28"/>
          <w:szCs w:val="28"/>
        </w:rPr>
        <w:t>排序。由评比选委员会确定排序第一的为成交供应商。排名第一的成交供应商放弃成交的，确定排名第二的为成交供应商，依次类推。</w:t>
      </w:r>
    </w:p>
    <w:p w14:paraId="51010D2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第四章 响应文件要求</w:t>
      </w:r>
    </w:p>
    <w:p w14:paraId="750440D7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一、比选申请函（格式自拟）；</w:t>
      </w:r>
    </w:p>
    <w:p w14:paraId="49DEB7C6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二、报价表（格式自拟）；</w:t>
      </w:r>
    </w:p>
    <w:p w14:paraId="3380EFD3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三、符合《政府采购法》第二十二条的证明材料及相关的承诺函；</w:t>
      </w:r>
    </w:p>
    <w:p w14:paraId="5C8461E9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四、特定要求（资格）证明文件；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</w:p>
    <w:p w14:paraId="78F1DAAD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五</w:t>
      </w:r>
      <w:r>
        <w:rPr>
          <w:rFonts w:ascii="Times New Roman" w:hAnsi="Times New Roman" w:cs="Times New Roman"/>
          <w:sz w:val="28"/>
          <w:szCs w:val="28"/>
          <w:highlight w:val="none"/>
        </w:rPr>
        <w:t>、法定代表人授权委托书（法定代表人本人参加的，不提交）；</w:t>
      </w:r>
    </w:p>
    <w:p w14:paraId="54E60C99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六</w:t>
      </w:r>
      <w:r>
        <w:rPr>
          <w:rFonts w:ascii="Times New Roman" w:hAnsi="Times New Roman" w:cs="Times New Roman"/>
          <w:sz w:val="28"/>
          <w:szCs w:val="28"/>
          <w:highlight w:val="none"/>
        </w:rPr>
        <w:t>、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服务要求及</w:t>
      </w:r>
      <w:r>
        <w:rPr>
          <w:rFonts w:ascii="Times New Roman" w:hAnsi="Times New Roman" w:cs="Times New Roman"/>
          <w:sz w:val="28"/>
          <w:szCs w:val="28"/>
          <w:highlight w:val="none"/>
        </w:rPr>
        <w:t>商务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要求</w:t>
      </w:r>
      <w:r>
        <w:rPr>
          <w:rFonts w:ascii="Times New Roman" w:hAnsi="Times New Roman" w:cs="Times New Roman"/>
          <w:sz w:val="28"/>
          <w:szCs w:val="28"/>
          <w:highlight w:val="none"/>
        </w:rPr>
        <w:t>响应文件；</w:t>
      </w:r>
    </w:p>
    <w:p w14:paraId="298E4BCA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七、其他证明材料。</w:t>
      </w:r>
    </w:p>
    <w:p w14:paraId="7454C1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供应商应保证所提交材料的合法性、真实性和有效性。响应文件需提交正本一份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，密封并加盖公章</w:t>
      </w:r>
      <w:r>
        <w:rPr>
          <w:rFonts w:ascii="Times New Roman" w:hAnsi="Times New Roman" w:cs="Times New Roman"/>
          <w:sz w:val="28"/>
          <w:szCs w:val="28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26622"/>
    <w:rsid w:val="40D914A8"/>
    <w:rsid w:val="4E81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basedOn w:val="1"/>
    <w:qFormat/>
    <w:uiPriority w:val="99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1115</Words>
  <Characters>1168</Characters>
  <Lines>0</Lines>
  <Paragraphs>0</Paragraphs>
  <TotalTime>0</TotalTime>
  <ScaleCrop>false</ScaleCrop>
  <LinksUpToDate>false</LinksUpToDate>
  <CharactersWithSpaces>1183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卡戎</cp:lastModifiedBy>
  <cp:lastPrinted>2024-11-08T08:14:00Z</cp:lastPrinted>
  <dcterms:modified xsi:type="dcterms:W3CDTF">2024-12-23T03:31:17Z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B5A341B9D2484F0688D938713EA58F6D_13</vt:lpwstr>
  </property>
</Properties>
</file>