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highlight w:val="none"/>
        </w:rPr>
      </w:pPr>
      <w:bookmarkStart w:id="0" w:name="_GoBack"/>
      <w:bookmarkEnd w:id="0"/>
      <w:r>
        <w:rPr>
          <w:rFonts w:ascii="Times New Roman" w:hAnsi="Times New Roman" w:eastAsia="方正小标宋_GBK" w:cs="Times New Roman"/>
          <w:bCs/>
          <w:sz w:val="44"/>
          <w:szCs w:val="44"/>
          <w:highlight w:val="none"/>
        </w:rPr>
        <w:t>成都市龙泉驿区中医医院</w:t>
      </w:r>
    </w:p>
    <w:p>
      <w:pPr>
        <w:spacing w:line="578" w:lineRule="exact"/>
        <w:jc w:val="center"/>
        <w:outlineLvl w:val="0"/>
        <w:rPr>
          <w:rFonts w:ascii="Times New Roman" w:hAnsi="Times New Roman" w:eastAsia="方正小标宋_GBK" w:cs="Times New Roman"/>
          <w:bCs/>
          <w:sz w:val="44"/>
          <w:szCs w:val="44"/>
          <w:highlight w:val="none"/>
        </w:rPr>
      </w:pPr>
      <w:r>
        <w:rPr>
          <w:rFonts w:hint="eastAsia" w:ascii="方正小标宋_GBK" w:hAnsi="方正小标宋_GBK" w:eastAsia="方正小标宋_GBK" w:cs="方正小标宋_GBK"/>
          <w:sz w:val="44"/>
          <w:szCs w:val="44"/>
          <w:lang w:val="en-US" w:eastAsia="zh-CN"/>
        </w:rPr>
        <w:t>电梯专用空调</w:t>
      </w:r>
      <w:r>
        <w:rPr>
          <w:rFonts w:hint="eastAsia" w:ascii="Times New Roman" w:hAnsi="Times New Roman" w:eastAsia="方正小标宋_GBK" w:cs="Times New Roman"/>
          <w:bCs/>
          <w:sz w:val="44"/>
          <w:szCs w:val="44"/>
          <w:highlight w:val="none"/>
          <w:lang w:eastAsia="zh-CN"/>
        </w:rPr>
        <w:t>采购</w:t>
      </w:r>
      <w:r>
        <w:rPr>
          <w:rFonts w:ascii="Times New Roman" w:hAnsi="Times New Roman" w:eastAsia="方正小标宋_GBK" w:cs="Times New Roman"/>
          <w:bCs/>
          <w:sz w:val="44"/>
          <w:szCs w:val="44"/>
          <w:highlight w:val="none"/>
        </w:rPr>
        <w:t>比选文件</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第一章 比选要求</w:t>
      </w:r>
    </w:p>
    <w:p>
      <w:pPr>
        <w:spacing w:line="360" w:lineRule="auto"/>
        <w:rPr>
          <w:rFonts w:ascii="Times New Roman" w:hAnsi="Times New Roman" w:cs="Times New Roman"/>
          <w:b/>
          <w:bCs/>
          <w:sz w:val="28"/>
          <w:szCs w:val="28"/>
          <w:highlight w:val="none"/>
        </w:rPr>
      </w:pPr>
      <w:r>
        <w:rPr>
          <w:rFonts w:ascii="Times New Roman" w:hAnsi="Times New Roman" w:cs="Times New Roman"/>
          <w:b/>
          <w:bCs/>
          <w:sz w:val="28"/>
          <w:szCs w:val="28"/>
          <w:highlight w:val="none"/>
        </w:rPr>
        <w:t>一、项目概况</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1、根据业务需要采购</w:t>
      </w:r>
      <w:r>
        <w:rPr>
          <w:rFonts w:hint="eastAsia" w:ascii="Times New Roman" w:hAnsi="Times New Roman" w:cs="Times New Roman"/>
          <w:sz w:val="28"/>
          <w:szCs w:val="28"/>
          <w:highlight w:val="none"/>
          <w:lang w:eastAsia="zh-CN"/>
        </w:rPr>
        <w:t>电梯专用空调</w:t>
      </w:r>
      <w:r>
        <w:rPr>
          <w:rFonts w:hint="eastAsia" w:ascii="Times New Roman" w:hAnsi="Times New Roman" w:cs="Times New Roman"/>
          <w:sz w:val="28"/>
          <w:szCs w:val="28"/>
          <w:highlight w:val="none"/>
          <w:lang w:val="en-US" w:eastAsia="zh-CN"/>
        </w:rPr>
        <w:t>11台</w:t>
      </w:r>
      <w:r>
        <w:rPr>
          <w:rFonts w:hint="eastAsia" w:ascii="Times New Roman" w:hAnsi="Times New Roman" w:cs="Times New Roman"/>
          <w:sz w:val="28"/>
          <w:szCs w:val="28"/>
          <w:highlight w:val="none"/>
        </w:rPr>
        <w:t>。</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rPr>
        <w:t>、项目预算：</w:t>
      </w:r>
      <w:r>
        <w:rPr>
          <w:rFonts w:hint="eastAsia" w:ascii="Times New Roman" w:hAnsi="Times New Roman" w:cs="Times New Roman"/>
          <w:sz w:val="28"/>
          <w:szCs w:val="28"/>
          <w:highlight w:val="none"/>
          <w:lang w:val="en-US" w:eastAsia="zh-CN"/>
        </w:rPr>
        <w:t>8000元/台，总预算88000元</w:t>
      </w:r>
      <w:r>
        <w:rPr>
          <w:rFonts w:hint="eastAsia" w:ascii="Times New Roman" w:hAnsi="Times New Roman" w:cs="Times New Roman"/>
          <w:sz w:val="28"/>
          <w:szCs w:val="28"/>
          <w:highlight w:val="none"/>
        </w:rPr>
        <w:t>。</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二、比选报名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（一）供应商报名条件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1．符合《中华人民共和国政府采购法》第二十二条之规定，具体如下：</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1.1 具有独立承担民事责任的能力；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1.2 具有良好的商业信誉和健全的财务会计制度；</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1.3 具有履行合同所必需的设备和专业技术能力；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1.4 有依法缴纳税收和社会保障资金的良好记录；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1.5 参加政府采购活动前三年内，在经营活动中没有重大违法记录；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1.6 法律、行政法规规定的其他条件。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2．本项目不接受联合体参加比选。</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3．本项目特定要求：</w:t>
      </w:r>
      <w:r>
        <w:rPr>
          <w:rFonts w:hint="eastAsia" w:ascii="Times New Roman" w:hAnsi="Times New Roman" w:cs="Times New Roman"/>
          <w:sz w:val="28"/>
          <w:szCs w:val="28"/>
          <w:highlight w:val="none"/>
        </w:rPr>
        <w:t>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（二）报名要求</w:t>
      </w:r>
      <w:r>
        <w:rPr>
          <w:rFonts w:ascii="Times New Roman" w:hAnsi="Times New Roman" w:cs="Times New Roman"/>
          <w:sz w:val="28"/>
          <w:szCs w:val="28"/>
          <w:highlight w:val="none"/>
        </w:rPr>
        <w:t>：</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按要求时间提交响应文件视为报名。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三、比选文件领取方式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通过医院官网下载比选文件。</w:t>
      </w:r>
    </w:p>
    <w:p>
      <w:pPr>
        <w:spacing w:line="360" w:lineRule="auto"/>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t>四、响应文件接收时间和地点</w:t>
      </w:r>
    </w:p>
    <w:p>
      <w:pPr>
        <w:spacing w:line="360" w:lineRule="auto"/>
        <w:rPr>
          <w:rFonts w:ascii="Times New Roman" w:hAnsi="Times New Roman" w:eastAsia="方正仿宋_GBK" w:cs="Times New Roman"/>
          <w:sz w:val="28"/>
          <w:szCs w:val="28"/>
          <w:highlight w:val="none"/>
        </w:rPr>
      </w:pPr>
      <w:r>
        <w:rPr>
          <w:rFonts w:ascii="Times New Roman" w:hAnsi="Times New Roman" w:eastAsia="宋体" w:cs="Times New Roman"/>
          <w:sz w:val="28"/>
          <w:szCs w:val="28"/>
          <w:highlight w:val="none"/>
        </w:rPr>
        <w:t>文件递交时间：2024年</w:t>
      </w:r>
      <w:r>
        <w:rPr>
          <w:rFonts w:hint="eastAsia" w:ascii="Times New Roman" w:hAnsi="Times New Roman" w:eastAsia="宋体" w:cs="Times New Roman"/>
          <w:sz w:val="28"/>
          <w:szCs w:val="28"/>
          <w:highlight w:val="none"/>
          <w:lang w:val="en-US" w:eastAsia="zh-CN"/>
        </w:rPr>
        <w:t>10</w:t>
      </w:r>
      <w:r>
        <w:rPr>
          <w:rFonts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18</w:t>
      </w:r>
      <w:r>
        <w:rPr>
          <w:rFonts w:ascii="Times New Roman" w:hAnsi="Times New Roman" w:eastAsia="宋体" w:cs="Times New Roman"/>
          <w:sz w:val="28"/>
          <w:szCs w:val="28"/>
          <w:highlight w:val="none"/>
        </w:rPr>
        <w:t>日</w:t>
      </w:r>
      <w:r>
        <w:rPr>
          <w:rFonts w:hint="eastAsia" w:ascii="Times New Roman" w:hAnsi="Times New Roman" w:eastAsia="方正仿宋_GBK" w:cs="Times New Roman"/>
          <w:sz w:val="28"/>
          <w:szCs w:val="28"/>
          <w:highlight w:val="none"/>
        </w:rPr>
        <w:t>09:</w:t>
      </w:r>
      <w:r>
        <w:rPr>
          <w:rFonts w:hint="eastAsia" w:ascii="Times New Roman" w:hAnsi="Times New Roman" w:eastAsia="方正仿宋_GBK" w:cs="Times New Roman"/>
          <w:sz w:val="28"/>
          <w:szCs w:val="28"/>
          <w:highlight w:val="none"/>
          <w:lang w:val="en-US" w:eastAsia="zh-CN"/>
        </w:rPr>
        <w:t>0</w:t>
      </w:r>
      <w:r>
        <w:rPr>
          <w:rFonts w:hint="eastAsia" w:ascii="Times New Roman" w:hAnsi="Times New Roman" w:eastAsia="方正仿宋_GBK" w:cs="Times New Roman"/>
          <w:sz w:val="28"/>
          <w:szCs w:val="28"/>
          <w:highlight w:val="none"/>
        </w:rPr>
        <w:t>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val="en-US" w:eastAsia="zh-CN"/>
        </w:rPr>
        <w:t>09</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val="en-US" w:eastAsia="zh-CN"/>
        </w:rPr>
        <w:t>3</w:t>
      </w:r>
      <w:r>
        <w:rPr>
          <w:rFonts w:ascii="Times New Roman" w:hAnsi="Times New Roman" w:eastAsia="方正仿宋_GBK" w:cs="Times New Roman"/>
          <w:sz w:val="28"/>
          <w:szCs w:val="28"/>
          <w:highlight w:val="none"/>
        </w:rPr>
        <w:t>0</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文件接收地点：成都市龙泉驿区青台山路222号</w:t>
      </w:r>
    </w:p>
    <w:p>
      <w:pPr>
        <w:spacing w:line="360" w:lineRule="auto"/>
        <w:ind w:left="1984" w:leftChars="945"/>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成都市龙泉驿区中医医院门诊5楼采购科</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联系人：董老师</w:t>
      </w:r>
    </w:p>
    <w:p>
      <w:pPr>
        <w:spacing w:line="360" w:lineRule="auto"/>
        <w:rPr>
          <w:rFonts w:ascii="Times New Roman" w:hAnsi="Times New Roman" w:cs="Times New Roman"/>
          <w:sz w:val="28"/>
          <w:szCs w:val="28"/>
          <w:highlight w:val="none"/>
        </w:rPr>
      </w:pPr>
      <w:r>
        <w:rPr>
          <w:rFonts w:ascii="Times New Roman" w:hAnsi="Times New Roman" w:eastAsia="宋体" w:cs="Times New Roman"/>
          <w:sz w:val="28"/>
          <w:szCs w:val="28"/>
          <w:highlight w:val="none"/>
        </w:rPr>
        <w:t>联系方式：028-60659207</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五、比选时间、地点及方式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比选时间：2024年</w:t>
      </w:r>
      <w:r>
        <w:rPr>
          <w:rFonts w:hint="eastAsia" w:ascii="Times New Roman" w:hAnsi="Times New Roman" w:cs="Times New Roman"/>
          <w:sz w:val="28"/>
          <w:szCs w:val="28"/>
          <w:highlight w:val="none"/>
          <w:lang w:val="en-US" w:eastAsia="zh-CN"/>
        </w:rPr>
        <w:t>10</w:t>
      </w:r>
      <w:r>
        <w:rPr>
          <w:rFonts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18</w:t>
      </w:r>
      <w:r>
        <w:rPr>
          <w:rFonts w:ascii="Times New Roman" w:hAnsi="Times New Roman" w:cs="Times New Roman"/>
          <w:sz w:val="28"/>
          <w:szCs w:val="28"/>
          <w:highlight w:val="none"/>
        </w:rPr>
        <w:t>日</w:t>
      </w:r>
      <w:r>
        <w:rPr>
          <w:rFonts w:hint="eastAsia" w:ascii="Times New Roman" w:hAnsi="Times New Roman" w:cs="Times New Roman"/>
          <w:sz w:val="28"/>
          <w:szCs w:val="28"/>
          <w:highlight w:val="none"/>
        </w:rPr>
        <w:t>上</w:t>
      </w:r>
      <w:r>
        <w:rPr>
          <w:rFonts w:ascii="Times New Roman" w:hAnsi="Times New Roman" w:cs="Times New Roman"/>
          <w:sz w:val="28"/>
          <w:szCs w:val="28"/>
          <w:highlight w:val="none"/>
        </w:rPr>
        <w:t>午</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比选地点：成都市龙泉驿区中医医院会议室</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比选方式：</w:t>
      </w:r>
      <w:r>
        <w:rPr>
          <w:rFonts w:hint="eastAsia" w:ascii="Times New Roman" w:hAnsi="Times New Roman" w:cs="Times New Roman"/>
          <w:sz w:val="28"/>
          <w:szCs w:val="28"/>
          <w:highlight w:val="none"/>
          <w:lang w:eastAsia="zh-CN"/>
        </w:rPr>
        <w:t>综合评分</w:t>
      </w:r>
      <w:r>
        <w:rPr>
          <w:rFonts w:hint="eastAsia" w:ascii="Times New Roman" w:hAnsi="Times New Roman" w:cs="Times New Roman"/>
          <w:sz w:val="28"/>
          <w:szCs w:val="28"/>
          <w:highlight w:val="none"/>
        </w:rPr>
        <w:t>法</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第二章 </w:t>
      </w:r>
      <w:r>
        <w:rPr>
          <w:rFonts w:hint="eastAsia" w:ascii="Times New Roman" w:hAnsi="Times New Roman" w:cs="Times New Roman"/>
          <w:b/>
          <w:sz w:val="28"/>
          <w:szCs w:val="28"/>
          <w:highlight w:val="none"/>
          <w:lang w:eastAsia="zh-CN"/>
        </w:rPr>
        <w:t>参数</w:t>
      </w:r>
      <w:r>
        <w:rPr>
          <w:rFonts w:ascii="Times New Roman" w:hAnsi="Times New Roman" w:cs="Times New Roman"/>
          <w:b/>
          <w:sz w:val="28"/>
          <w:szCs w:val="28"/>
          <w:highlight w:val="none"/>
        </w:rPr>
        <w:t>和</w:t>
      </w:r>
      <w:r>
        <w:rPr>
          <w:rFonts w:hint="eastAsia" w:ascii="Times New Roman" w:hAnsi="Times New Roman" w:cs="Times New Roman"/>
          <w:b/>
          <w:sz w:val="28"/>
          <w:szCs w:val="28"/>
          <w:highlight w:val="none"/>
          <w:lang w:eastAsia="zh-CN"/>
        </w:rPr>
        <w:t>服务</w:t>
      </w:r>
      <w:r>
        <w:rPr>
          <w:rFonts w:ascii="Times New Roman" w:hAnsi="Times New Roman" w:cs="Times New Roman"/>
          <w:b/>
          <w:sz w:val="28"/>
          <w:szCs w:val="28"/>
          <w:highlight w:val="none"/>
        </w:rPr>
        <w:t>要求</w:t>
      </w: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一、</w:t>
      </w:r>
      <w:r>
        <w:rPr>
          <w:rFonts w:hint="eastAsia" w:ascii="Times New Roman" w:hAnsi="Times New Roman" w:cs="Times New Roman"/>
          <w:bCs/>
          <w:sz w:val="28"/>
          <w:szCs w:val="28"/>
          <w:highlight w:val="none"/>
          <w:lang w:eastAsia="zh-CN"/>
        </w:rPr>
        <w:t>参数</w:t>
      </w:r>
      <w:r>
        <w:rPr>
          <w:rFonts w:hint="eastAsia" w:ascii="Times New Roman" w:hAnsi="Times New Roman" w:cs="Times New Roman"/>
          <w:bCs/>
          <w:sz w:val="28"/>
          <w:szCs w:val="28"/>
          <w:highlight w:val="none"/>
        </w:rPr>
        <w:t>要求（实质性要求）</w:t>
      </w:r>
    </w:p>
    <w:tbl>
      <w:tblPr>
        <w:tblStyle w:val="8"/>
        <w:tblW w:w="6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6"/>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0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空调功率</w:t>
            </w:r>
          </w:p>
        </w:tc>
        <w:tc>
          <w:tcPr>
            <w:tcW w:w="38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适用梯型</w:t>
            </w:r>
          </w:p>
        </w:tc>
        <w:tc>
          <w:tcPr>
            <w:tcW w:w="38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&lt;1800Kg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制冷量</w:t>
            </w:r>
          </w:p>
        </w:tc>
        <w:tc>
          <w:tcPr>
            <w:tcW w:w="38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3200W-3500W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w:t>
            </w:r>
            <w:r>
              <w:rPr>
                <w:rStyle w:val="24"/>
                <w:lang w:val="en-US" w:eastAsia="zh-CN" w:bidi="ar"/>
              </w:rPr>
              <w:t>剂</w:t>
            </w:r>
          </w:p>
        </w:tc>
        <w:tc>
          <w:tcPr>
            <w:tcW w:w="38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风量</w:t>
            </w:r>
          </w:p>
        </w:tc>
        <w:tc>
          <w:tcPr>
            <w:tcW w:w="38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r>
              <w:rPr>
                <w:rStyle w:val="24"/>
                <w:lang w:val="en-US" w:eastAsia="zh-CN" w:bidi="ar"/>
              </w:rPr>
              <w:t>M3/Hour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工作电压</w:t>
            </w:r>
          </w:p>
        </w:tc>
        <w:tc>
          <w:tcPr>
            <w:tcW w:w="3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220V/50Hz (2</w:t>
            </w:r>
            <w:r>
              <w:rPr>
                <w:rStyle w:val="24"/>
                <w:lang w:val="en-US" w:eastAsia="zh-CN" w:bidi="ar"/>
              </w:rPr>
              <w:t xml:space="preserve"> Phase)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电流（制冷/制热）</w:t>
            </w:r>
          </w:p>
        </w:tc>
        <w:tc>
          <w:tcPr>
            <w:tcW w:w="38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24"/>
                <w:lang w:val="en-US" w:eastAsia="zh-CN" w:bidi="ar"/>
              </w:rPr>
              <w:t>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额定输入功率</w:t>
            </w:r>
          </w:p>
        </w:tc>
        <w:tc>
          <w:tcPr>
            <w:tcW w:w="38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1060</w:t>
            </w:r>
            <w:r>
              <w:rPr>
                <w:rStyle w:val="24"/>
                <w:lang w:val="en-US" w:eastAsia="zh-CN" w:bidi="ar"/>
              </w:rPr>
              <w:t>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吸排气侧压力</w:t>
            </w:r>
          </w:p>
        </w:tc>
        <w:tc>
          <w:tcPr>
            <w:tcW w:w="38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运行噪音</w:t>
            </w:r>
          </w:p>
        </w:tc>
        <w:tc>
          <w:tcPr>
            <w:tcW w:w="38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w:t>
            </w:r>
          </w:p>
        </w:tc>
        <w:tc>
          <w:tcPr>
            <w:tcW w:w="38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体积</w:t>
            </w:r>
          </w:p>
        </w:tc>
        <w:tc>
          <w:tcPr>
            <w:tcW w:w="3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设备545*450*350（风口端高370），600*490含防尘网及风口，底盘560*460*50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防水等级</w:t>
            </w:r>
          </w:p>
        </w:tc>
        <w:tc>
          <w:tcPr>
            <w:tcW w:w="3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触电保护类型</w:t>
            </w:r>
          </w:p>
        </w:tc>
        <w:tc>
          <w:tcPr>
            <w:tcW w:w="3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Type</w:t>
            </w:r>
            <w:r>
              <w:rPr>
                <w:rStyle w:val="24"/>
                <w:lang w:val="en-US" w:eastAsia="zh-CN" w:bidi="ar"/>
              </w:rPr>
              <w:t xml:space="preserve"> 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30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其他配置</w:t>
            </w:r>
          </w:p>
        </w:tc>
        <w:tc>
          <w:tcPr>
            <w:tcW w:w="3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保温棉管</w:t>
            </w:r>
            <w:r>
              <w:rPr>
                <w:rStyle w:val="24"/>
                <w:lang w:val="en-US" w:eastAsia="zh-CN" w:bidi="ar"/>
              </w:rPr>
              <w:t>，</w:t>
            </w:r>
            <w:r>
              <w:rPr>
                <w:rStyle w:val="25"/>
                <w:rFonts w:eastAsia="宋体"/>
                <w:lang w:val="en-US" w:eastAsia="zh-CN" w:bidi="ar"/>
              </w:rPr>
              <w:t>全套安装附件包括:出风管、回风管、保</w:t>
            </w:r>
            <w:r>
              <w:rPr>
                <w:rStyle w:val="25"/>
                <w:rFonts w:eastAsia="宋体"/>
                <w:color w:val="auto"/>
                <w:lang w:val="en-US" w:eastAsia="zh-CN" w:bidi="ar"/>
              </w:rPr>
              <w:t>温、安装支架安装螺丝、出风嘴、回风管置、防溢托盘</w:t>
            </w:r>
            <w:r>
              <w:rPr>
                <w:rStyle w:val="25"/>
                <w:rFonts w:hint="eastAsia" w:eastAsia="宋体"/>
                <w:color w:val="auto"/>
                <w:lang w:val="en-US" w:eastAsia="zh-CN" w:bidi="ar"/>
              </w:rPr>
              <w:t>、专用电缆</w:t>
            </w:r>
            <w:r>
              <w:rPr>
                <w:rStyle w:val="25"/>
                <w:rFonts w:eastAsia="宋体"/>
                <w:color w:val="auto"/>
                <w:lang w:val="en-US" w:eastAsia="zh-CN" w:bidi="ar"/>
              </w:rPr>
              <w:t>等</w:t>
            </w:r>
            <w:r>
              <w:rPr>
                <w:rStyle w:val="25"/>
                <w:rFonts w:hint="eastAsia" w:eastAsia="宋体"/>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303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其他功能</w:t>
            </w:r>
          </w:p>
        </w:tc>
        <w:tc>
          <w:tcPr>
            <w:tcW w:w="384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独立电源供电设计，不影响电梯正常运行。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4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室内除湿，自动恒温，健康换气</w:t>
            </w:r>
            <w:r>
              <w:rPr>
                <w:rStyle w:val="25"/>
                <w:rFonts w:eastAsia="宋体"/>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循环遥控定时。</w:t>
            </w:r>
          </w:p>
        </w:tc>
      </w:tr>
    </w:tbl>
    <w:p>
      <w:pPr>
        <w:spacing w:line="240" w:lineRule="atLeast"/>
        <w:rPr>
          <w:rFonts w:hint="eastAsia" w:ascii="Times New Roman" w:hAnsi="Times New Roman" w:cs="Times New Roman"/>
          <w:bCs/>
          <w:sz w:val="28"/>
          <w:szCs w:val="28"/>
          <w:highlight w:val="none"/>
        </w:rPr>
      </w:pP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二、商务要求（实质性要求）</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1、付款方式：项目完成并通过验收后，甲方在</w:t>
      </w:r>
      <w:r>
        <w:rPr>
          <w:rFonts w:hint="eastAsia" w:ascii="Times New Roman" w:hAnsi="Times New Roman" w:cs="Times New Roman"/>
          <w:sz w:val="28"/>
          <w:szCs w:val="28"/>
          <w:highlight w:val="none"/>
          <w:lang w:val="en-US" w:eastAsia="zh-CN"/>
        </w:rPr>
        <w:t>30天</w:t>
      </w:r>
      <w:r>
        <w:rPr>
          <w:rFonts w:hint="eastAsia" w:ascii="Times New Roman" w:hAnsi="Times New Roman" w:cs="Times New Roman"/>
          <w:sz w:val="28"/>
          <w:szCs w:val="28"/>
          <w:highlight w:val="none"/>
        </w:rPr>
        <w:t>内支付合同款项。</w:t>
      </w:r>
    </w:p>
    <w:p>
      <w:pPr>
        <w:spacing w:line="240" w:lineRule="atLeast"/>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sz w:val="28"/>
          <w:szCs w:val="28"/>
          <w:highlight w:val="none"/>
        </w:rPr>
        <w:t>2、报价要求：本项目报价不得超过项目预算。</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第三章  比选程序及评审标准</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一、</w:t>
      </w:r>
      <w:r>
        <w:rPr>
          <w:rFonts w:ascii="Times New Roman" w:hAnsi="Times New Roman" w:cs="Times New Roman"/>
          <w:sz w:val="28"/>
          <w:szCs w:val="28"/>
          <w:highlight w:val="none"/>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w:t>
      </w:r>
      <w:r>
        <w:rPr>
          <w:rFonts w:ascii="Times New Roman" w:hAnsi="Times New Roman" w:cs="Times New Roman"/>
          <w:sz w:val="28"/>
          <w:szCs w:val="28"/>
          <w:highlight w:val="none"/>
        </w:rPr>
        <w:t>、比选委员会根据评审要求对供应商申报材料进行评审，按</w:t>
      </w:r>
      <w:r>
        <w:rPr>
          <w:rFonts w:hint="eastAsia" w:ascii="Times New Roman" w:hAnsi="Times New Roman" w:cs="Times New Roman"/>
          <w:sz w:val="28"/>
          <w:szCs w:val="28"/>
          <w:highlight w:val="none"/>
          <w:lang w:eastAsia="zh-CN"/>
        </w:rPr>
        <w:t>综合评分</w:t>
      </w:r>
      <w:r>
        <w:rPr>
          <w:rFonts w:ascii="Times New Roman" w:hAnsi="Times New Roman" w:cs="Times New Roman"/>
          <w:sz w:val="28"/>
          <w:szCs w:val="28"/>
          <w:highlight w:val="none"/>
        </w:rPr>
        <w:t>由</w:t>
      </w:r>
      <w:r>
        <w:rPr>
          <w:rFonts w:hint="eastAsia" w:ascii="Times New Roman" w:hAnsi="Times New Roman" w:cs="Times New Roman"/>
          <w:sz w:val="28"/>
          <w:szCs w:val="28"/>
          <w:highlight w:val="none"/>
          <w:lang w:eastAsia="zh-CN"/>
        </w:rPr>
        <w:t>高</w:t>
      </w:r>
      <w:r>
        <w:rPr>
          <w:rFonts w:ascii="Times New Roman" w:hAnsi="Times New Roman" w:cs="Times New Roman"/>
          <w:sz w:val="28"/>
          <w:szCs w:val="28"/>
          <w:highlight w:val="none"/>
        </w:rPr>
        <w:t>到</w:t>
      </w:r>
      <w:r>
        <w:rPr>
          <w:rFonts w:hint="eastAsia" w:ascii="Times New Roman" w:hAnsi="Times New Roman" w:cs="Times New Roman"/>
          <w:sz w:val="28"/>
          <w:szCs w:val="28"/>
          <w:highlight w:val="none"/>
          <w:lang w:eastAsia="zh-CN"/>
        </w:rPr>
        <w:t>低</w:t>
      </w:r>
      <w:r>
        <w:rPr>
          <w:rFonts w:ascii="Times New Roman" w:hAnsi="Times New Roman" w:cs="Times New Roman"/>
          <w:sz w:val="28"/>
          <w:szCs w:val="28"/>
          <w:highlight w:val="none"/>
        </w:rPr>
        <w:t>排序。由比选委员会确定排序第一的为成交供应商。排名第一的成交供应商放弃成交的，确定排名第二的为成交供应商，依次类推。</w:t>
      </w:r>
    </w:p>
    <w:p>
      <w:pPr>
        <w:spacing w:line="360" w:lineRule="auto"/>
        <w:rPr>
          <w:rFonts w:hint="eastAsia" w:ascii="Times New Roman" w:hAnsi="Times New Roman" w:cs="Times New Roman"/>
          <w:sz w:val="28"/>
          <w:szCs w:val="28"/>
          <w:highlight w:val="none"/>
          <w:lang w:eastAsia="zh-CN"/>
        </w:rPr>
      </w:pPr>
      <w:r>
        <w:rPr>
          <w:rFonts w:hint="eastAsia" w:ascii="Times New Roman" w:hAnsi="Times New Roman" w:cs="Times New Roman"/>
          <w:sz w:val="28"/>
          <w:szCs w:val="28"/>
          <w:highlight w:val="none"/>
          <w:lang w:eastAsia="zh-CN"/>
        </w:rPr>
        <w:t>三、评分细则</w:t>
      </w:r>
    </w:p>
    <w:tbl>
      <w:tblPr>
        <w:tblStyle w:val="8"/>
        <w:tblW w:w="546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2"/>
        <w:gridCol w:w="1303"/>
        <w:gridCol w:w="905"/>
        <w:gridCol w:w="5960"/>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4"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74"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评分因素及权重</w:t>
            </w:r>
          </w:p>
        </w:tc>
        <w:tc>
          <w:tcPr>
            <w:tcW w:w="468"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3082"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c>
          <w:tcPr>
            <w:tcW w:w="529"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4" w:type="pct"/>
            <w:noWrap w:val="0"/>
            <w:vAlign w:val="center"/>
          </w:tcPr>
          <w:p>
            <w:pPr>
              <w:spacing w:line="400" w:lineRule="exact"/>
              <w:ind w:firstLine="28" w:firstLineChars="0"/>
              <w:jc w:val="center"/>
              <w:rPr>
                <w:rFonts w:hint="eastAsia" w:ascii="仿宋" w:hAnsi="仿宋" w:eastAsia="仿宋" w:cs="仿宋"/>
                <w:color w:val="auto"/>
                <w:sz w:val="24"/>
                <w:highlight w:val="none"/>
              </w:rPr>
            </w:pPr>
            <w:r>
              <w:rPr>
                <w:rFonts w:hint="eastAsia" w:ascii="仿宋" w:hAnsi="仿宋" w:eastAsia="仿宋" w:cs="仿宋"/>
                <w:kern w:val="1"/>
                <w:sz w:val="24"/>
                <w:szCs w:val="24"/>
              </w:rPr>
              <w:t>1</w:t>
            </w:r>
          </w:p>
        </w:tc>
        <w:tc>
          <w:tcPr>
            <w:tcW w:w="674" w:type="pct"/>
            <w:noWrap w:val="0"/>
            <w:vAlign w:val="center"/>
          </w:tcPr>
          <w:p>
            <w:pPr>
              <w:spacing w:line="400" w:lineRule="exact"/>
              <w:ind w:firstLine="28" w:firstLineChars="0"/>
              <w:rPr>
                <w:rFonts w:hint="eastAsia" w:ascii="仿宋" w:hAnsi="仿宋" w:eastAsia="仿宋" w:cs="仿宋"/>
                <w:color w:val="auto"/>
                <w:sz w:val="24"/>
                <w:highlight w:val="none"/>
              </w:rPr>
            </w:pPr>
            <w:r>
              <w:rPr>
                <w:rFonts w:hint="eastAsia" w:ascii="仿宋" w:hAnsi="仿宋" w:eastAsia="仿宋" w:cs="仿宋"/>
                <w:kern w:val="1"/>
                <w:sz w:val="24"/>
                <w:szCs w:val="24"/>
              </w:rPr>
              <w:t xml:space="preserve">报价 </w:t>
            </w:r>
            <w:r>
              <w:rPr>
                <w:rFonts w:hint="eastAsia" w:ascii="仿宋" w:hAnsi="仿宋" w:eastAsia="仿宋" w:cs="仿宋"/>
                <w:kern w:val="1"/>
                <w:sz w:val="24"/>
                <w:szCs w:val="24"/>
                <w:lang w:val="en-US" w:eastAsia="zh-CN"/>
              </w:rPr>
              <w:t>3</w:t>
            </w:r>
            <w:r>
              <w:rPr>
                <w:rFonts w:hint="eastAsia" w:ascii="仿宋" w:hAnsi="仿宋" w:eastAsia="仿宋" w:cs="仿宋"/>
                <w:kern w:val="1"/>
                <w:sz w:val="24"/>
                <w:szCs w:val="24"/>
              </w:rPr>
              <w:t>0%</w:t>
            </w:r>
          </w:p>
        </w:tc>
        <w:tc>
          <w:tcPr>
            <w:tcW w:w="468" w:type="pct"/>
            <w:noWrap w:val="0"/>
            <w:vAlign w:val="center"/>
          </w:tcPr>
          <w:p>
            <w:pPr>
              <w:spacing w:line="400" w:lineRule="exact"/>
              <w:ind w:firstLine="28" w:firstLineChars="0"/>
              <w:jc w:val="center"/>
              <w:rPr>
                <w:rFonts w:hint="eastAsia" w:ascii="仿宋" w:hAnsi="仿宋" w:eastAsia="仿宋" w:cs="仿宋"/>
                <w:color w:val="auto"/>
                <w:sz w:val="24"/>
                <w:highlight w:val="none"/>
              </w:rPr>
            </w:pPr>
            <w:r>
              <w:rPr>
                <w:rFonts w:hint="eastAsia" w:ascii="仿宋" w:hAnsi="仿宋" w:eastAsia="仿宋" w:cs="仿宋"/>
                <w:kern w:val="1"/>
                <w:sz w:val="24"/>
                <w:szCs w:val="24"/>
              </w:rPr>
              <w:t>30分</w:t>
            </w:r>
          </w:p>
        </w:tc>
        <w:tc>
          <w:tcPr>
            <w:tcW w:w="3082" w:type="pct"/>
            <w:noWrap w:val="0"/>
            <w:vAlign w:val="center"/>
          </w:tcPr>
          <w:p>
            <w:pPr>
              <w:spacing w:line="400" w:lineRule="exact"/>
              <w:rPr>
                <w:rFonts w:hint="eastAsia" w:ascii="仿宋" w:hAnsi="仿宋" w:eastAsia="仿宋" w:cs="仿宋"/>
                <w:color w:val="auto"/>
                <w:sz w:val="24"/>
                <w:highlight w:val="none"/>
              </w:rPr>
            </w:pPr>
            <w:r>
              <w:rPr>
                <w:rFonts w:hint="eastAsia" w:ascii="仿宋" w:hAnsi="仿宋" w:eastAsia="仿宋" w:cs="仿宋"/>
                <w:kern w:val="1"/>
                <w:sz w:val="24"/>
                <w:szCs w:val="24"/>
              </w:rPr>
              <w:t>以最低有效响应报价（1-下浮率）为基准价，报价得分=(基准价／响应报价)×30×100%。（结果保留2位小数）</w:t>
            </w:r>
          </w:p>
        </w:tc>
        <w:tc>
          <w:tcPr>
            <w:tcW w:w="529"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共同评分因素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44" w:type="pct"/>
            <w:shd w:val="clear" w:color="auto" w:fill="auto"/>
            <w:noWrap w:val="0"/>
            <w:vAlign w:val="center"/>
          </w:tcPr>
          <w:p>
            <w:pPr>
              <w:spacing w:line="400" w:lineRule="exact"/>
              <w:ind w:firstLine="28" w:firstLineChars="0"/>
              <w:jc w:val="center"/>
              <w:rPr>
                <w:rFonts w:hint="eastAsia" w:ascii="仿宋" w:hAnsi="仿宋" w:eastAsia="仿宋" w:cs="仿宋"/>
                <w:b/>
                <w:kern w:val="1"/>
                <w:sz w:val="24"/>
                <w:szCs w:val="24"/>
                <w:lang w:val="en-US" w:eastAsia="zh-CN" w:bidi="ar-SA"/>
              </w:rPr>
            </w:pPr>
            <w:r>
              <w:rPr>
                <w:rFonts w:hint="eastAsia" w:ascii="仿宋" w:hAnsi="仿宋" w:eastAsia="仿宋" w:cs="仿宋"/>
                <w:kern w:val="1"/>
                <w:sz w:val="24"/>
                <w:szCs w:val="24"/>
              </w:rPr>
              <w:t>2</w:t>
            </w:r>
          </w:p>
        </w:tc>
        <w:tc>
          <w:tcPr>
            <w:tcW w:w="674" w:type="pct"/>
            <w:shd w:val="clear" w:color="auto" w:fill="auto"/>
            <w:noWrap w:val="0"/>
            <w:vAlign w:val="center"/>
          </w:tcPr>
          <w:p>
            <w:pPr>
              <w:spacing w:line="400" w:lineRule="exact"/>
              <w:ind w:firstLine="28" w:firstLineChars="0"/>
              <w:rPr>
                <w:rFonts w:hint="eastAsia" w:ascii="仿宋" w:hAnsi="仿宋" w:eastAsia="仿宋" w:cs="仿宋"/>
                <w:b/>
                <w:kern w:val="1"/>
                <w:sz w:val="24"/>
                <w:szCs w:val="24"/>
                <w:lang w:val="en-US" w:eastAsia="zh-CN" w:bidi="ar-SA"/>
              </w:rPr>
            </w:pPr>
            <w:r>
              <w:rPr>
                <w:rFonts w:hint="eastAsia" w:ascii="仿宋" w:hAnsi="仿宋" w:eastAsia="仿宋" w:cs="仿宋"/>
                <w:kern w:val="1"/>
                <w:sz w:val="24"/>
                <w:szCs w:val="24"/>
              </w:rPr>
              <w:t>服务内容及要求</w:t>
            </w:r>
            <w:r>
              <w:rPr>
                <w:rFonts w:hint="eastAsia" w:ascii="仿宋" w:hAnsi="仿宋" w:eastAsia="仿宋" w:cs="仿宋"/>
                <w:kern w:val="1"/>
                <w:sz w:val="24"/>
                <w:szCs w:val="24"/>
                <w:lang w:val="en-US" w:eastAsia="zh-CN"/>
              </w:rPr>
              <w:t>20</w:t>
            </w:r>
            <w:r>
              <w:rPr>
                <w:rFonts w:hint="eastAsia" w:ascii="仿宋" w:hAnsi="仿宋" w:eastAsia="仿宋" w:cs="仿宋"/>
                <w:kern w:val="1"/>
                <w:sz w:val="24"/>
                <w:szCs w:val="24"/>
              </w:rPr>
              <w:t>%</w:t>
            </w:r>
          </w:p>
        </w:tc>
        <w:tc>
          <w:tcPr>
            <w:tcW w:w="468" w:type="pct"/>
            <w:shd w:val="clear" w:color="auto" w:fill="auto"/>
            <w:noWrap w:val="0"/>
            <w:vAlign w:val="center"/>
          </w:tcPr>
          <w:p>
            <w:pPr>
              <w:spacing w:line="400" w:lineRule="exact"/>
              <w:ind w:firstLine="28" w:firstLineChars="0"/>
              <w:jc w:val="center"/>
              <w:rPr>
                <w:rFonts w:hint="eastAsia" w:ascii="仿宋" w:hAnsi="仿宋" w:eastAsia="仿宋" w:cs="仿宋"/>
                <w:b/>
                <w:kern w:val="1"/>
                <w:sz w:val="24"/>
                <w:szCs w:val="24"/>
                <w:lang w:val="en-US" w:eastAsia="zh-CN" w:bidi="ar-SA"/>
              </w:rPr>
            </w:pPr>
            <w:r>
              <w:rPr>
                <w:rFonts w:hint="eastAsia" w:ascii="仿宋" w:hAnsi="仿宋" w:eastAsia="仿宋" w:cs="仿宋"/>
                <w:kern w:val="1"/>
                <w:sz w:val="24"/>
                <w:szCs w:val="24"/>
                <w:lang w:val="en-US" w:eastAsia="zh-CN"/>
              </w:rPr>
              <w:t>20</w:t>
            </w:r>
            <w:r>
              <w:rPr>
                <w:rFonts w:hint="eastAsia" w:ascii="仿宋" w:hAnsi="仿宋" w:eastAsia="仿宋" w:cs="仿宋"/>
                <w:kern w:val="1"/>
                <w:sz w:val="24"/>
                <w:szCs w:val="24"/>
              </w:rPr>
              <w:t>分</w:t>
            </w:r>
          </w:p>
        </w:tc>
        <w:tc>
          <w:tcPr>
            <w:tcW w:w="3082" w:type="pct"/>
            <w:shd w:val="clear" w:color="auto" w:fill="auto"/>
            <w:noWrap w:val="0"/>
            <w:vAlign w:val="center"/>
          </w:tcPr>
          <w:p>
            <w:pPr>
              <w:rPr>
                <w:rFonts w:hint="eastAsia" w:ascii="仿宋" w:hAnsi="仿宋" w:eastAsia="仿宋" w:cs="仿宋"/>
                <w:b/>
                <w:kern w:val="1"/>
                <w:sz w:val="24"/>
                <w:szCs w:val="24"/>
                <w:lang w:val="en-US" w:eastAsia="zh-CN" w:bidi="ar-SA"/>
              </w:rPr>
            </w:pPr>
            <w:r>
              <w:rPr>
                <w:rFonts w:hint="eastAsia" w:ascii="仿宋" w:hAnsi="仿宋" w:eastAsia="仿宋" w:cs="仿宋"/>
                <w:sz w:val="24"/>
                <w:szCs w:val="24"/>
              </w:rPr>
              <w:t>完全符合比选文件</w:t>
            </w:r>
            <w:r>
              <w:rPr>
                <w:rFonts w:hint="eastAsia" w:ascii="仿宋" w:hAnsi="仿宋" w:eastAsia="仿宋" w:cs="仿宋"/>
                <w:sz w:val="24"/>
                <w:szCs w:val="24"/>
                <w:lang w:val="en-US" w:eastAsia="zh-CN"/>
              </w:rPr>
              <w:t>技术</w:t>
            </w:r>
            <w:r>
              <w:rPr>
                <w:rFonts w:hint="eastAsia" w:ascii="仿宋" w:hAnsi="仿宋" w:eastAsia="仿宋" w:cs="仿宋"/>
                <w:kern w:val="1"/>
                <w:sz w:val="24"/>
                <w:szCs w:val="24"/>
              </w:rPr>
              <w:t>服务要求</w:t>
            </w:r>
            <w:r>
              <w:rPr>
                <w:rFonts w:hint="eastAsia" w:ascii="仿宋" w:hAnsi="仿宋" w:eastAsia="仿宋" w:cs="仿宋"/>
                <w:sz w:val="24"/>
                <w:szCs w:val="24"/>
              </w:rPr>
              <w:t>的得</w:t>
            </w:r>
            <w:r>
              <w:rPr>
                <w:rFonts w:hint="eastAsia" w:ascii="仿宋" w:hAnsi="仿宋" w:eastAsia="仿宋" w:cs="仿宋"/>
                <w:sz w:val="24"/>
                <w:szCs w:val="24"/>
                <w:lang w:val="en-US" w:eastAsia="zh-CN"/>
              </w:rPr>
              <w:t>20</w:t>
            </w:r>
            <w:r>
              <w:rPr>
                <w:rFonts w:hint="eastAsia" w:ascii="仿宋" w:hAnsi="仿宋" w:eastAsia="仿宋" w:cs="仿宋"/>
                <w:sz w:val="24"/>
                <w:szCs w:val="24"/>
              </w:rPr>
              <w:t>分，每有一条负偏离或未响应扣</w:t>
            </w:r>
            <w:r>
              <w:rPr>
                <w:rFonts w:hint="eastAsia" w:ascii="仿宋" w:hAnsi="仿宋" w:eastAsia="仿宋" w:cs="仿宋"/>
                <w:sz w:val="24"/>
                <w:szCs w:val="24"/>
                <w:lang w:val="en-US" w:eastAsia="zh-CN"/>
              </w:rPr>
              <w:t>5</w:t>
            </w:r>
            <w:r>
              <w:rPr>
                <w:rFonts w:hint="eastAsia" w:ascii="仿宋" w:hAnsi="仿宋" w:eastAsia="仿宋" w:cs="仿宋"/>
                <w:sz w:val="24"/>
                <w:szCs w:val="24"/>
              </w:rPr>
              <w:t>分，扣完为止。</w:t>
            </w:r>
          </w:p>
        </w:tc>
        <w:tc>
          <w:tcPr>
            <w:tcW w:w="529" w:type="pct"/>
            <w:shd w:val="clear" w:color="auto" w:fill="auto"/>
            <w:noWrap w:val="0"/>
            <w:vAlign w:val="center"/>
          </w:tcPr>
          <w:p>
            <w:pPr>
              <w:spacing w:line="400" w:lineRule="exact"/>
              <w:rPr>
                <w:rFonts w:hint="eastAsia" w:ascii="仿宋" w:hAnsi="仿宋" w:eastAsia="仿宋" w:cs="仿宋"/>
                <w:b/>
                <w:kern w:val="1"/>
                <w:sz w:val="24"/>
                <w:szCs w:val="24"/>
                <w:lang w:val="en-US" w:eastAsia="zh-CN" w:bidi="ar-SA"/>
              </w:rPr>
            </w:pPr>
            <w:r>
              <w:rPr>
                <w:rFonts w:hint="eastAsia" w:ascii="仿宋" w:hAnsi="仿宋" w:eastAsia="仿宋" w:cs="仿宋"/>
                <w:sz w:val="24"/>
                <w:szCs w:val="24"/>
              </w:rPr>
              <w:t>共同评分因素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44"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74"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人员配置</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w:t>
            </w:r>
          </w:p>
        </w:tc>
        <w:tc>
          <w:tcPr>
            <w:tcW w:w="468"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tc>
        <w:tc>
          <w:tcPr>
            <w:tcW w:w="3082" w:type="pct"/>
            <w:noWrap w:val="0"/>
            <w:vAlign w:val="center"/>
          </w:tcPr>
          <w:p>
            <w:pPr>
              <w:numPr>
                <w:ilvl w:val="0"/>
                <w:numId w:val="1"/>
              </w:num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电梯空调安装</w:t>
            </w:r>
            <w:r>
              <w:rPr>
                <w:rFonts w:hint="eastAsia" w:ascii="仿宋" w:hAnsi="仿宋" w:eastAsia="仿宋" w:cs="仿宋"/>
                <w:color w:val="auto"/>
                <w:sz w:val="24"/>
                <w:highlight w:val="none"/>
              </w:rPr>
              <w:t>人员</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名，持有特种设备作业证</w:t>
            </w:r>
            <w:r>
              <w:rPr>
                <w:rFonts w:hint="eastAsia" w:ascii="仿宋" w:hAnsi="仿宋" w:eastAsia="仿宋" w:cs="仿宋"/>
                <w:color w:val="auto"/>
                <w:sz w:val="24"/>
                <w:highlight w:val="none"/>
                <w:lang w:val="en-US" w:eastAsia="zh-CN"/>
              </w:rPr>
              <w:t>工作年限满5年的，</w:t>
            </w:r>
            <w:r>
              <w:rPr>
                <w:rFonts w:hint="eastAsia" w:ascii="仿宋" w:hAnsi="仿宋" w:eastAsia="仿宋" w:cs="仿宋"/>
                <w:color w:val="auto"/>
                <w:sz w:val="24"/>
                <w:highlight w:val="none"/>
              </w:rPr>
              <w:t>得1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分；提供</w:t>
            </w:r>
            <w:r>
              <w:rPr>
                <w:rFonts w:hint="eastAsia" w:ascii="仿宋" w:hAnsi="仿宋" w:eastAsia="仿宋" w:cs="仿宋"/>
                <w:color w:val="auto"/>
                <w:sz w:val="24"/>
                <w:highlight w:val="none"/>
                <w:lang w:val="en-US" w:eastAsia="zh-CN"/>
              </w:rPr>
              <w:t>电梯空调安装</w:t>
            </w:r>
            <w:r>
              <w:rPr>
                <w:rFonts w:hint="eastAsia" w:ascii="仿宋" w:hAnsi="仿宋" w:eastAsia="仿宋" w:cs="仿宋"/>
                <w:color w:val="auto"/>
                <w:sz w:val="24"/>
                <w:highlight w:val="none"/>
              </w:rPr>
              <w:t>人员</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名</w:t>
            </w:r>
            <w:r>
              <w:rPr>
                <w:rFonts w:hint="eastAsia" w:ascii="仿宋" w:hAnsi="仿宋" w:eastAsia="仿宋" w:cs="仿宋"/>
                <w:color w:val="auto"/>
                <w:sz w:val="24"/>
                <w:highlight w:val="none"/>
                <w:lang w:val="en-US" w:eastAsia="zh-CN"/>
              </w:rPr>
              <w:t>且</w:t>
            </w:r>
            <w:r>
              <w:rPr>
                <w:rFonts w:hint="eastAsia" w:ascii="仿宋" w:hAnsi="仿宋" w:eastAsia="仿宋" w:cs="仿宋"/>
                <w:color w:val="auto"/>
                <w:sz w:val="24"/>
                <w:highlight w:val="none"/>
              </w:rPr>
              <w:t>持有特种设备作业证工作年限满3年的，得</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分；提供</w:t>
            </w:r>
            <w:r>
              <w:rPr>
                <w:rFonts w:hint="eastAsia" w:ascii="仿宋" w:hAnsi="仿宋" w:eastAsia="仿宋" w:cs="仿宋"/>
                <w:color w:val="auto"/>
                <w:sz w:val="24"/>
                <w:highlight w:val="none"/>
                <w:lang w:val="en-US" w:eastAsia="zh-CN"/>
              </w:rPr>
              <w:t>电梯空调安装</w:t>
            </w:r>
            <w:r>
              <w:rPr>
                <w:rFonts w:hint="eastAsia" w:ascii="仿宋" w:hAnsi="仿宋" w:eastAsia="仿宋" w:cs="仿宋"/>
                <w:color w:val="auto"/>
                <w:sz w:val="24"/>
                <w:highlight w:val="none"/>
              </w:rPr>
              <w:t>人员</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名</w:t>
            </w:r>
            <w:r>
              <w:rPr>
                <w:rFonts w:hint="eastAsia" w:ascii="仿宋" w:hAnsi="仿宋" w:eastAsia="仿宋" w:cs="仿宋"/>
                <w:color w:val="auto"/>
                <w:sz w:val="24"/>
                <w:highlight w:val="none"/>
                <w:lang w:val="en-US" w:eastAsia="zh-CN"/>
              </w:rPr>
              <w:t>且</w:t>
            </w:r>
            <w:r>
              <w:rPr>
                <w:rFonts w:hint="eastAsia" w:ascii="仿宋" w:hAnsi="仿宋" w:eastAsia="仿宋" w:cs="仿宋"/>
                <w:color w:val="auto"/>
                <w:sz w:val="24"/>
                <w:highlight w:val="none"/>
              </w:rPr>
              <w:t>持有特种设备作业证工作年限满</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分；不符合上述人员要求的，得0分；本项</w:t>
            </w:r>
            <w:r>
              <w:rPr>
                <w:rFonts w:hint="eastAsia" w:ascii="仿宋" w:hAnsi="仿宋" w:eastAsia="仿宋" w:cs="仿宋"/>
                <w:color w:val="auto"/>
                <w:sz w:val="24"/>
                <w:highlight w:val="none"/>
                <w:lang w:eastAsia="zh-CN"/>
              </w:rPr>
              <w:t>最</w:t>
            </w:r>
            <w:r>
              <w:rPr>
                <w:rFonts w:hint="eastAsia" w:ascii="仿宋" w:hAnsi="仿宋" w:eastAsia="仿宋" w:cs="仿宋"/>
                <w:color w:val="auto"/>
                <w:sz w:val="24"/>
                <w:highlight w:val="none"/>
              </w:rPr>
              <w:t>多得</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分。</w:t>
            </w:r>
          </w:p>
          <w:p>
            <w:pPr>
              <w:numPr>
                <w:ilvl w:val="0"/>
                <w:numId w:val="1"/>
              </w:num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提供日常维护人员2名，</w:t>
            </w:r>
            <w:r>
              <w:rPr>
                <w:rFonts w:hint="eastAsia" w:ascii="仿宋" w:hAnsi="仿宋" w:eastAsia="仿宋" w:cs="仿宋"/>
                <w:color w:val="auto"/>
                <w:sz w:val="24"/>
                <w:highlight w:val="none"/>
              </w:rPr>
              <w:t>持有特种设备作业证</w:t>
            </w:r>
            <w:r>
              <w:rPr>
                <w:rFonts w:hint="eastAsia" w:ascii="仿宋" w:hAnsi="仿宋" w:eastAsia="仿宋" w:cs="仿宋"/>
                <w:color w:val="auto"/>
                <w:sz w:val="24"/>
                <w:highlight w:val="none"/>
                <w:lang w:val="en-US" w:eastAsia="zh-CN"/>
              </w:rPr>
              <w:t>工作年限满5年的，</w:t>
            </w:r>
            <w:r>
              <w:rPr>
                <w:rFonts w:hint="eastAsia" w:ascii="仿宋" w:hAnsi="仿宋" w:eastAsia="仿宋" w:cs="仿宋"/>
                <w:color w:val="auto"/>
                <w:sz w:val="24"/>
                <w:highlight w:val="none"/>
              </w:rPr>
              <w:t>得1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分；提供</w:t>
            </w:r>
            <w:r>
              <w:rPr>
                <w:rFonts w:hint="eastAsia" w:ascii="仿宋" w:hAnsi="仿宋" w:eastAsia="仿宋" w:cs="仿宋"/>
                <w:color w:val="auto"/>
                <w:sz w:val="24"/>
                <w:highlight w:val="none"/>
                <w:lang w:val="en-US" w:eastAsia="zh-CN"/>
              </w:rPr>
              <w:t>电梯空调维护</w:t>
            </w:r>
            <w:r>
              <w:rPr>
                <w:rFonts w:hint="eastAsia" w:ascii="仿宋" w:hAnsi="仿宋" w:eastAsia="仿宋" w:cs="仿宋"/>
                <w:color w:val="auto"/>
                <w:sz w:val="24"/>
                <w:highlight w:val="none"/>
              </w:rPr>
              <w:t>人员</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名</w:t>
            </w:r>
            <w:r>
              <w:rPr>
                <w:rFonts w:hint="eastAsia" w:ascii="仿宋" w:hAnsi="仿宋" w:eastAsia="仿宋" w:cs="仿宋"/>
                <w:color w:val="auto"/>
                <w:sz w:val="24"/>
                <w:highlight w:val="none"/>
                <w:lang w:val="en-US" w:eastAsia="zh-CN"/>
              </w:rPr>
              <w:t>且</w:t>
            </w:r>
            <w:r>
              <w:rPr>
                <w:rFonts w:hint="eastAsia" w:ascii="仿宋" w:hAnsi="仿宋" w:eastAsia="仿宋" w:cs="仿宋"/>
                <w:color w:val="auto"/>
                <w:sz w:val="24"/>
                <w:highlight w:val="none"/>
              </w:rPr>
              <w:t>持有特种设备作业证工作年限满3年的，得</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分；提供</w:t>
            </w:r>
            <w:r>
              <w:rPr>
                <w:rFonts w:hint="eastAsia" w:ascii="仿宋" w:hAnsi="仿宋" w:eastAsia="仿宋" w:cs="仿宋"/>
                <w:color w:val="auto"/>
                <w:sz w:val="24"/>
                <w:highlight w:val="none"/>
                <w:lang w:val="en-US" w:eastAsia="zh-CN"/>
              </w:rPr>
              <w:t>电梯空调维护</w:t>
            </w:r>
            <w:r>
              <w:rPr>
                <w:rFonts w:hint="eastAsia" w:ascii="仿宋" w:hAnsi="仿宋" w:eastAsia="仿宋" w:cs="仿宋"/>
                <w:color w:val="auto"/>
                <w:sz w:val="24"/>
                <w:highlight w:val="none"/>
              </w:rPr>
              <w:t>人员</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名</w:t>
            </w:r>
            <w:r>
              <w:rPr>
                <w:rFonts w:hint="eastAsia" w:ascii="仿宋" w:hAnsi="仿宋" w:eastAsia="仿宋" w:cs="仿宋"/>
                <w:color w:val="auto"/>
                <w:sz w:val="24"/>
                <w:highlight w:val="none"/>
                <w:lang w:val="en-US" w:eastAsia="zh-CN"/>
              </w:rPr>
              <w:t>且</w:t>
            </w:r>
            <w:r>
              <w:rPr>
                <w:rFonts w:hint="eastAsia" w:ascii="仿宋" w:hAnsi="仿宋" w:eastAsia="仿宋" w:cs="仿宋"/>
                <w:color w:val="auto"/>
                <w:sz w:val="24"/>
                <w:highlight w:val="none"/>
              </w:rPr>
              <w:t>持有特种设备作业证工作年限满</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分；不符合上述人员要求的，得0分；本项</w:t>
            </w:r>
            <w:r>
              <w:rPr>
                <w:rFonts w:hint="eastAsia" w:ascii="仿宋" w:hAnsi="仿宋" w:eastAsia="仿宋" w:cs="仿宋"/>
                <w:color w:val="auto"/>
                <w:sz w:val="24"/>
                <w:highlight w:val="none"/>
                <w:lang w:eastAsia="zh-CN"/>
              </w:rPr>
              <w:t>最</w:t>
            </w:r>
            <w:r>
              <w:rPr>
                <w:rFonts w:hint="eastAsia" w:ascii="仿宋" w:hAnsi="仿宋" w:eastAsia="仿宋" w:cs="仿宋"/>
                <w:color w:val="auto"/>
                <w:sz w:val="24"/>
                <w:highlight w:val="none"/>
              </w:rPr>
              <w:t>多得</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分。</w:t>
            </w:r>
          </w:p>
          <w:p>
            <w:pPr>
              <w:numPr>
                <w:ilvl w:val="0"/>
                <w:numId w:val="0"/>
              </w:numPr>
              <w:jc w:val="left"/>
              <w:rPr>
                <w:rFonts w:hint="eastAsia" w:ascii="仿宋" w:hAnsi="仿宋" w:eastAsia="仿宋" w:cs="仿宋"/>
                <w:color w:val="auto"/>
                <w:sz w:val="24"/>
                <w:highlight w:val="none"/>
              </w:rPr>
            </w:pPr>
          </w:p>
          <w:p>
            <w:pPr>
              <w:jc w:val="left"/>
              <w:rPr>
                <w:rFonts w:hint="eastAsia"/>
                <w:color w:val="auto"/>
                <w:highlight w:val="none"/>
              </w:rPr>
            </w:pPr>
            <w:r>
              <w:rPr>
                <w:rFonts w:hint="eastAsia" w:ascii="仿宋" w:hAnsi="仿宋" w:eastAsia="仿宋" w:cs="仿宋"/>
                <w:color w:val="auto"/>
                <w:sz w:val="24"/>
                <w:highlight w:val="none"/>
              </w:rPr>
              <w:t>注：以上两项评分内容需提供人员特种作业操作证书及工作年限证明材料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社保证明材料</w:t>
            </w:r>
            <w:r>
              <w:rPr>
                <w:rFonts w:hint="eastAsia" w:ascii="仿宋" w:hAnsi="仿宋" w:eastAsia="仿宋" w:cs="仿宋"/>
                <w:color w:val="auto"/>
                <w:sz w:val="24"/>
                <w:highlight w:val="none"/>
              </w:rPr>
              <w:t>复印件，并加盖公章，原件备查）。</w:t>
            </w:r>
          </w:p>
        </w:tc>
        <w:tc>
          <w:tcPr>
            <w:tcW w:w="529"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8" w:hRule="atLeast"/>
        </w:trPr>
        <w:tc>
          <w:tcPr>
            <w:tcW w:w="244"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674"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总体服务方案20%</w:t>
            </w:r>
          </w:p>
        </w:tc>
        <w:tc>
          <w:tcPr>
            <w:tcW w:w="468"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分</w:t>
            </w:r>
          </w:p>
        </w:tc>
        <w:tc>
          <w:tcPr>
            <w:tcW w:w="3082" w:type="pct"/>
            <w:noWrap w:val="0"/>
            <w:vAlign w:val="center"/>
          </w:tcPr>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根据供应商提供针对本项目的人员配置方案、</w:t>
            </w:r>
            <w:r>
              <w:rPr>
                <w:rFonts w:hint="eastAsia" w:ascii="仿宋" w:hAnsi="仿宋" w:eastAsia="仿宋" w:cs="仿宋"/>
                <w:color w:val="auto"/>
                <w:sz w:val="24"/>
                <w:highlight w:val="none"/>
                <w:lang w:val="en-US" w:eastAsia="zh-CN"/>
              </w:rPr>
              <w:t>安装</w:t>
            </w:r>
            <w:r>
              <w:rPr>
                <w:rFonts w:hint="eastAsia" w:ascii="仿宋" w:hAnsi="仿宋" w:eastAsia="仿宋" w:cs="仿宋"/>
                <w:color w:val="auto"/>
                <w:sz w:val="24"/>
                <w:highlight w:val="none"/>
              </w:rPr>
              <w:t>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售后保障方案</w:t>
            </w:r>
            <w:r>
              <w:rPr>
                <w:rFonts w:hint="eastAsia" w:ascii="仿宋" w:hAnsi="仿宋" w:eastAsia="仿宋" w:cs="仿宋"/>
                <w:color w:val="auto"/>
                <w:sz w:val="24"/>
                <w:highlight w:val="none"/>
              </w:rPr>
              <w:t>等进行评审，方案能完全满足项目要求15-2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分，方案基本满足项目要求8-14分，方案差、内容简略得1-7分，未提供不得分。</w:t>
            </w:r>
          </w:p>
        </w:tc>
        <w:tc>
          <w:tcPr>
            <w:tcW w:w="529" w:type="pct"/>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共同评分因素</w:t>
            </w:r>
          </w:p>
        </w:tc>
      </w:tr>
    </w:tbl>
    <w:p>
      <w:pPr>
        <w:spacing w:line="360" w:lineRule="auto"/>
        <w:rPr>
          <w:rFonts w:hint="eastAsia" w:ascii="Times New Roman" w:hAnsi="Times New Roman" w:cs="Times New Roman"/>
          <w:sz w:val="28"/>
          <w:szCs w:val="28"/>
          <w:highlight w:val="none"/>
          <w:lang w:eastAsia="zh-CN"/>
        </w:rPr>
      </w:pP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第四章 响应文件要求</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一、比选申请函（格式自拟）；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二、报价表（格式自拟）；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三、符合《政府采购法》第二十二条的证明材料及相关的承诺函；</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四、特定要求（资格）证明文件；</w:t>
      </w:r>
      <w:r>
        <w:rPr>
          <w:rFonts w:ascii="Times New Roman" w:hAnsi="Times New Roman" w:cs="Times New Roman"/>
          <w:sz w:val="28"/>
          <w:szCs w:val="28"/>
          <w:highlight w:val="none"/>
        </w:rPr>
        <w:t xml:space="preserve"> </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五</w:t>
      </w:r>
      <w:r>
        <w:rPr>
          <w:rFonts w:ascii="Times New Roman" w:hAnsi="Times New Roman" w:cs="Times New Roman"/>
          <w:sz w:val="28"/>
          <w:szCs w:val="28"/>
          <w:highlight w:val="none"/>
        </w:rPr>
        <w:t>、法定代表人授权委托书（法定代表人本人参加的，不提交）；</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六</w:t>
      </w:r>
      <w:r>
        <w:rPr>
          <w:rFonts w:ascii="Times New Roman" w:hAnsi="Times New Roman" w:cs="Times New Roman"/>
          <w:sz w:val="28"/>
          <w:szCs w:val="28"/>
          <w:highlight w:val="none"/>
        </w:rPr>
        <w:t>、</w:t>
      </w:r>
      <w:r>
        <w:rPr>
          <w:rFonts w:hint="eastAsia" w:ascii="Times New Roman" w:hAnsi="Times New Roman" w:cs="Times New Roman"/>
          <w:sz w:val="28"/>
          <w:szCs w:val="28"/>
          <w:highlight w:val="none"/>
        </w:rPr>
        <w:t>服务要求及</w:t>
      </w:r>
      <w:r>
        <w:rPr>
          <w:rFonts w:ascii="Times New Roman" w:hAnsi="Times New Roman" w:cs="Times New Roman"/>
          <w:sz w:val="28"/>
          <w:szCs w:val="28"/>
          <w:highlight w:val="none"/>
        </w:rPr>
        <w:t>商务</w:t>
      </w:r>
      <w:r>
        <w:rPr>
          <w:rFonts w:hint="eastAsia" w:ascii="Times New Roman" w:hAnsi="Times New Roman" w:cs="Times New Roman"/>
          <w:sz w:val="28"/>
          <w:szCs w:val="28"/>
          <w:highlight w:val="none"/>
        </w:rPr>
        <w:t>要求</w:t>
      </w:r>
      <w:r>
        <w:rPr>
          <w:rFonts w:ascii="Times New Roman" w:hAnsi="Times New Roman" w:cs="Times New Roman"/>
          <w:sz w:val="28"/>
          <w:szCs w:val="28"/>
          <w:highlight w:val="none"/>
        </w:rPr>
        <w:t>响应文件；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七、其他证明材料。</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 xml:space="preserve">    供应商应保证所提交材料的合法性、真实性和有效性。响应文件需提交正本一份</w:t>
      </w:r>
      <w:r>
        <w:rPr>
          <w:rFonts w:hint="eastAsia" w:ascii="Times New Roman" w:hAnsi="Times New Roman" w:cs="Times New Roman"/>
          <w:sz w:val="28"/>
          <w:szCs w:val="28"/>
          <w:highlight w:val="none"/>
        </w:rPr>
        <w:t>，密封并加盖公章</w:t>
      </w:r>
      <w:r>
        <w:rPr>
          <w:rFonts w:ascii="Times New Roman" w:hAnsi="Times New Roman" w:cs="Times New Roman"/>
          <w:sz w:val="28"/>
          <w:szCs w:val="28"/>
          <w:highlight w:val="none"/>
        </w:rPr>
        <w:t>。</w:t>
      </w: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AFB1A"/>
    <w:multiLevelType w:val="singleLevel"/>
    <w:tmpl w:val="9CFAFB1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jJjNTM3NjZhYWM0ODU5MmYxNTQ4MmE4MjEzMWYifQ=="/>
  </w:docVars>
  <w:rsids>
    <w:rsidRoot w:val="00180351"/>
    <w:rsid w:val="00012DD0"/>
    <w:rsid w:val="00022621"/>
    <w:rsid w:val="00053BB1"/>
    <w:rsid w:val="000B2AB5"/>
    <w:rsid w:val="000B4F92"/>
    <w:rsid w:val="000D0D7B"/>
    <w:rsid w:val="000D7295"/>
    <w:rsid w:val="00117AA9"/>
    <w:rsid w:val="0017244A"/>
    <w:rsid w:val="00180351"/>
    <w:rsid w:val="00182E78"/>
    <w:rsid w:val="00194672"/>
    <w:rsid w:val="001A5A03"/>
    <w:rsid w:val="001F579D"/>
    <w:rsid w:val="00210A12"/>
    <w:rsid w:val="002260AB"/>
    <w:rsid w:val="00235C1A"/>
    <w:rsid w:val="00257CB7"/>
    <w:rsid w:val="002938B9"/>
    <w:rsid w:val="002B388A"/>
    <w:rsid w:val="00314C62"/>
    <w:rsid w:val="00327DAA"/>
    <w:rsid w:val="003334BF"/>
    <w:rsid w:val="00364ABB"/>
    <w:rsid w:val="003B1863"/>
    <w:rsid w:val="003C62E0"/>
    <w:rsid w:val="003E1055"/>
    <w:rsid w:val="00410AF2"/>
    <w:rsid w:val="00444270"/>
    <w:rsid w:val="00466950"/>
    <w:rsid w:val="004A0119"/>
    <w:rsid w:val="0053438E"/>
    <w:rsid w:val="0054147A"/>
    <w:rsid w:val="005454FE"/>
    <w:rsid w:val="00563A74"/>
    <w:rsid w:val="005A48AC"/>
    <w:rsid w:val="005D104C"/>
    <w:rsid w:val="005D7936"/>
    <w:rsid w:val="00627691"/>
    <w:rsid w:val="006538AE"/>
    <w:rsid w:val="0068389A"/>
    <w:rsid w:val="006962D4"/>
    <w:rsid w:val="006A5B23"/>
    <w:rsid w:val="007405D2"/>
    <w:rsid w:val="007A02C8"/>
    <w:rsid w:val="007B1F3C"/>
    <w:rsid w:val="007B53DC"/>
    <w:rsid w:val="007F1035"/>
    <w:rsid w:val="00806AAE"/>
    <w:rsid w:val="00822C6F"/>
    <w:rsid w:val="0088037F"/>
    <w:rsid w:val="008A2670"/>
    <w:rsid w:val="008F7806"/>
    <w:rsid w:val="00906073"/>
    <w:rsid w:val="0093549F"/>
    <w:rsid w:val="00946CBC"/>
    <w:rsid w:val="0095567C"/>
    <w:rsid w:val="00970BD7"/>
    <w:rsid w:val="009844E6"/>
    <w:rsid w:val="00986DF2"/>
    <w:rsid w:val="00997236"/>
    <w:rsid w:val="00A964F9"/>
    <w:rsid w:val="00AE25BB"/>
    <w:rsid w:val="00AF435F"/>
    <w:rsid w:val="00B50CDC"/>
    <w:rsid w:val="00B75D5E"/>
    <w:rsid w:val="00B9648F"/>
    <w:rsid w:val="00C04D51"/>
    <w:rsid w:val="00C06A22"/>
    <w:rsid w:val="00C409F0"/>
    <w:rsid w:val="00C71A57"/>
    <w:rsid w:val="00CD2040"/>
    <w:rsid w:val="00CD76B3"/>
    <w:rsid w:val="00CE0DD0"/>
    <w:rsid w:val="00CE5FBE"/>
    <w:rsid w:val="00D03AE0"/>
    <w:rsid w:val="00D06B06"/>
    <w:rsid w:val="00E2216E"/>
    <w:rsid w:val="00E3569E"/>
    <w:rsid w:val="00E5513E"/>
    <w:rsid w:val="00E57DD3"/>
    <w:rsid w:val="00E739E6"/>
    <w:rsid w:val="00E8698A"/>
    <w:rsid w:val="00EE4C78"/>
    <w:rsid w:val="00F6261C"/>
    <w:rsid w:val="00F66D1A"/>
    <w:rsid w:val="00FB3C2B"/>
    <w:rsid w:val="00FC722D"/>
    <w:rsid w:val="00FD6966"/>
    <w:rsid w:val="00FE1881"/>
    <w:rsid w:val="038E43AF"/>
    <w:rsid w:val="08437C9B"/>
    <w:rsid w:val="0B717DAA"/>
    <w:rsid w:val="0CFC5CD7"/>
    <w:rsid w:val="0F7F5739"/>
    <w:rsid w:val="18030800"/>
    <w:rsid w:val="1922031E"/>
    <w:rsid w:val="1DA005DB"/>
    <w:rsid w:val="1EE0309A"/>
    <w:rsid w:val="203F5056"/>
    <w:rsid w:val="22C17307"/>
    <w:rsid w:val="25B41231"/>
    <w:rsid w:val="260C5A63"/>
    <w:rsid w:val="265025A2"/>
    <w:rsid w:val="28DF5CDB"/>
    <w:rsid w:val="2A8844A6"/>
    <w:rsid w:val="2AFF477E"/>
    <w:rsid w:val="2BBA17BE"/>
    <w:rsid w:val="3419054F"/>
    <w:rsid w:val="362551F7"/>
    <w:rsid w:val="38957C8C"/>
    <w:rsid w:val="391009B1"/>
    <w:rsid w:val="39B24AA8"/>
    <w:rsid w:val="3A44591B"/>
    <w:rsid w:val="3C746548"/>
    <w:rsid w:val="3E0B7782"/>
    <w:rsid w:val="3F1A0777"/>
    <w:rsid w:val="3FCA6773"/>
    <w:rsid w:val="41537E26"/>
    <w:rsid w:val="49053693"/>
    <w:rsid w:val="497F604E"/>
    <w:rsid w:val="49FA52D7"/>
    <w:rsid w:val="4D6F27B0"/>
    <w:rsid w:val="4EB02170"/>
    <w:rsid w:val="4F5A759D"/>
    <w:rsid w:val="4F9D69E8"/>
    <w:rsid w:val="57061F28"/>
    <w:rsid w:val="59E87A09"/>
    <w:rsid w:val="5EE74C70"/>
    <w:rsid w:val="60BC569E"/>
    <w:rsid w:val="63484605"/>
    <w:rsid w:val="677F42B9"/>
    <w:rsid w:val="69FA0B76"/>
    <w:rsid w:val="6BEA36B0"/>
    <w:rsid w:val="6CC07D28"/>
    <w:rsid w:val="6D2961D2"/>
    <w:rsid w:val="6E0211CD"/>
    <w:rsid w:val="71C5001B"/>
    <w:rsid w:val="729774DA"/>
    <w:rsid w:val="74223E98"/>
    <w:rsid w:val="76003E97"/>
    <w:rsid w:val="7BFE7358"/>
    <w:rsid w:val="7FFB4424"/>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qFormat/>
    <w:uiPriority w:val="0"/>
    <w:rPr>
      <w:b/>
      <w:bCs/>
    </w:rPr>
  </w:style>
  <w:style w:type="character" w:styleId="10">
    <w:name w:val="annotation reference"/>
    <w:basedOn w:val="9"/>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3">
    <w:name w:val="null3"/>
    <w:qFormat/>
    <w:uiPriority w:val="0"/>
    <w:rPr>
      <w:rFonts w:hint="eastAsia" w:asciiTheme="minorHAnsi" w:hAnsiTheme="minorHAnsi" w:eastAsiaTheme="minorEastAsia" w:cstheme="minorBidi"/>
      <w:lang w:val="en-US" w:eastAsia="zh-Hans" w:bidi="mn-Mong-CN"/>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6">
    <w:name w:val="null31"/>
    <w:qFormat/>
    <w:uiPriority w:val="0"/>
    <w:rPr>
      <w:rFonts w:hint="eastAsia" w:asciiTheme="minorHAnsi" w:hAnsiTheme="minorHAnsi" w:eastAsiaTheme="minorEastAsia" w:cstheme="minorBidi"/>
      <w:lang w:val="en-US" w:eastAsia="zh-Hans" w:bidi="mn-Mong-CN"/>
    </w:rPr>
  </w:style>
  <w:style w:type="character" w:customStyle="1" w:styleId="17">
    <w:name w:val="批注文字 Char"/>
    <w:basedOn w:val="9"/>
    <w:link w:val="3"/>
    <w:qFormat/>
    <w:uiPriority w:val="0"/>
    <w:rPr>
      <w:kern w:val="2"/>
      <w:sz w:val="21"/>
      <w:szCs w:val="24"/>
      <w:lang w:bidi="ar-SA"/>
    </w:rPr>
  </w:style>
  <w:style w:type="character" w:customStyle="1" w:styleId="18">
    <w:name w:val="批注框文本 Char"/>
    <w:basedOn w:val="9"/>
    <w:link w:val="4"/>
    <w:qFormat/>
    <w:uiPriority w:val="0"/>
    <w:rPr>
      <w:kern w:val="2"/>
      <w:sz w:val="18"/>
      <w:szCs w:val="18"/>
      <w:lang w:bidi="ar-SA"/>
    </w:rPr>
  </w:style>
  <w:style w:type="character" w:customStyle="1" w:styleId="19">
    <w:name w:val="页眉 Char"/>
    <w:basedOn w:val="9"/>
    <w:link w:val="6"/>
    <w:qFormat/>
    <w:uiPriority w:val="0"/>
    <w:rPr>
      <w:kern w:val="2"/>
      <w:sz w:val="18"/>
      <w:szCs w:val="18"/>
      <w:lang w:bidi="ar-SA"/>
    </w:rPr>
  </w:style>
  <w:style w:type="character" w:customStyle="1" w:styleId="20">
    <w:name w:val="页脚 Char"/>
    <w:basedOn w:val="9"/>
    <w:link w:val="5"/>
    <w:qFormat/>
    <w:uiPriority w:val="0"/>
    <w:rPr>
      <w:kern w:val="2"/>
      <w:sz w:val="18"/>
      <w:szCs w:val="18"/>
      <w:lang w:bidi="ar-SA"/>
    </w:rPr>
  </w:style>
  <w:style w:type="character" w:customStyle="1" w:styleId="21">
    <w:name w:val="批注主题 Char"/>
    <w:basedOn w:val="17"/>
    <w:link w:val="7"/>
    <w:qFormat/>
    <w:uiPriority w:val="0"/>
    <w:rPr>
      <w:b/>
      <w:bCs/>
      <w:kern w:val="2"/>
      <w:sz w:val="21"/>
      <w:szCs w:val="24"/>
      <w:lang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16"/>
      <w:szCs w:val="16"/>
      <w:lang w:val="en-US" w:eastAsia="en-US" w:bidi="ar-SA"/>
    </w:rPr>
  </w:style>
  <w:style w:type="character" w:customStyle="1" w:styleId="24">
    <w:name w:val="font11"/>
    <w:basedOn w:val="9"/>
    <w:qFormat/>
    <w:uiPriority w:val="0"/>
    <w:rPr>
      <w:rFonts w:hint="eastAsia" w:ascii="宋体" w:hAnsi="宋体" w:eastAsia="宋体" w:cs="宋体"/>
      <w:color w:val="000000"/>
      <w:sz w:val="21"/>
      <w:szCs w:val="21"/>
      <w:u w:val="none"/>
    </w:rPr>
  </w:style>
  <w:style w:type="character" w:customStyle="1" w:styleId="25">
    <w:name w:val="font21"/>
    <w:basedOn w:val="9"/>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1629</Words>
  <Characters>1815</Characters>
  <Lines>7</Lines>
  <Paragraphs>2</Paragraphs>
  <TotalTime>1</TotalTime>
  <ScaleCrop>false</ScaleCrop>
  <LinksUpToDate>false</LinksUpToDate>
  <CharactersWithSpaces>1835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卡戎</cp:lastModifiedBy>
  <cp:lastPrinted>2024-06-03T06:45:00Z</cp:lastPrinted>
  <dcterms:modified xsi:type="dcterms:W3CDTF">2024-10-15T01:41:33Z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D833E714419440419D1B907DF8C2C16E_13</vt:lpwstr>
  </property>
</Properties>
</file>