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零星维修项目竣工结算审核服务、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造价清单编制服务比选文件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（一）医院零星维修项目竣工结算审核服务、造价清单编制服务。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（二）项目预算：3万元</w:t>
      </w:r>
      <w:r>
        <w:rPr>
          <w:rFonts w:hint="eastAsia"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年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3．本项目特定要求：无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:00-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:30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27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综合评分</w:t>
      </w:r>
      <w:r>
        <w:rPr>
          <w:rFonts w:hint="eastAsia" w:ascii="Times New Roman" w:hAnsi="Times New Roman" w:cs="Times New Roman"/>
          <w:sz w:val="28"/>
          <w:szCs w:val="28"/>
        </w:rPr>
        <w:t>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 供应商服务内容和要求</w:t>
      </w:r>
    </w:p>
    <w:p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一、服务内容及要求（实质性要求）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工程造价咨询服务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1、编制工程预算(招标控制价或标底)、编制工程量清单(招标控制价或标底)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以委托人认可的经评审的工程招标控制价(扣除暂列金、暂估价)作为收费基数，如果无经评审的工程招标控制价，则以委托人认可的预算金额(扣除暂列金、暂估价)作为收费基数，工程分标段实施的，以前述合并金额(扣除暂列金、暂估价)作为收费基数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（2）按川价发(2008)141号文件收费标准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cs="Times New Roman"/>
          <w:color w:val="auto"/>
          <w:sz w:val="28"/>
          <w:szCs w:val="28"/>
        </w:rPr>
        <w:t>收费基数下浮25%。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（3）编制工程量清单含预算控制价时，其收费系数乘1.25。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cs="Times New Roman"/>
          <w:color w:val="auto"/>
          <w:sz w:val="28"/>
          <w:szCs w:val="28"/>
        </w:rPr>
        <w:t>）单个项目服务费少于3000元，按3000元计取。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2、审核工程预算(招标控制价或标底)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（1）以送审工程预算价(扣除暂列金、暂估价)为收费基数，工程分标段实施的，以合并预算价(扣除暂列金、暂估价)作为收费基数。</w:t>
      </w:r>
    </w:p>
    <w:p>
      <w:pPr>
        <w:spacing w:line="360" w:lineRule="auto"/>
        <w:ind w:firstLine="560" w:firstLineChars="200"/>
        <w:rPr>
          <w:rFonts w:hint="eastAsia" w:asci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（2）按川价发(2008) 141号文件收费标准，收费基数下浮25%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cs="Times New Roman"/>
          <w:color w:val="auto"/>
          <w:sz w:val="28"/>
          <w:szCs w:val="28"/>
        </w:rPr>
        <w:t>）单个项目服务费少于3000元， 按3000元计取。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3、造价信息咨询（材料设备询价）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（1）每次出具单份报告的询价材料在50条以内的，且每条材料需有三家材料商的报价，按每条60元计价，若询价材料超出50条的，则超出部分按每条50元计取。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（2）设备询价，按每条100元计价。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4.结算审核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（1）初审服务费（含税）由基本审计费、效益审计费及违约扣减组成，基本审计费：按送审金额（含补报）的1.7‰计取。效益审计费：按审减金额[审减金额=送审金额（含补报）-审定金额]的2.2%计取。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（2）复核服务费（含税）由基本审计费、效益审计费及违约扣减组成，基本审计费：按送审金额（含补报）的1.4‰计取。效益审计费：按审减金额[审减金额=送审金额（含补报）-审定金额]的3.6%计取。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（3）采购类项目初审服务费由（基本审计费+效益审计费）×50%及违约扣减组成，基本审计费：按送审金额（含补报）的1.7‰计取。效益审计费：按审减金额[审减金额=送审金额（含补报）-审定金额]的2.2%计取。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（4）以上费用若单个项目服务费少于2000元，按2000元计取，违约扣减扣完除外。</w:t>
      </w:r>
    </w:p>
    <w:p>
      <w:pPr>
        <w:spacing w:line="360" w:lineRule="auto"/>
        <w:ind w:firstLine="560" w:firstLineChars="200"/>
        <w:rPr>
          <w:rFonts w:hint="default" w:asci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5.服务期限：3年，合同一年一签。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综合评分</w:t>
      </w:r>
      <w:r>
        <w:rPr>
          <w:rFonts w:ascii="Times New Roman" w:hAnsi="Times New Roman" w:cs="Times New Roman"/>
          <w:sz w:val="28"/>
          <w:szCs w:val="28"/>
        </w:rPr>
        <w:t>由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cs="Times New Roman"/>
          <w:sz w:val="28"/>
          <w:szCs w:val="28"/>
        </w:rPr>
        <w:t>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四、特定要求证明资料（如有）；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五、法定代表人授权委托书（法定代表人本人参加的，不提交）；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六、</w:t>
      </w:r>
      <w:r>
        <w:rPr>
          <w:rFonts w:hint="eastAsia" w:ascii="Times New Roman" w:hAnsi="Times New Roman" w:cs="Times New Roman"/>
          <w:sz w:val="28"/>
          <w:szCs w:val="28"/>
        </w:rPr>
        <w:t>服务要求及</w:t>
      </w:r>
      <w:r>
        <w:rPr>
          <w:rFonts w:ascii="Times New Roman" w:hAnsi="Times New Roman" w:cs="Times New Roman"/>
          <w:sz w:val="28"/>
          <w:szCs w:val="28"/>
        </w:rPr>
        <w:t>商务要求响应文件；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供应商应保证所提交材料的合法性、真实性和有效性。响应文件需提交正本一份，密封并加盖公章。</w:t>
      </w:r>
    </w:p>
    <w:p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五</w:t>
      </w:r>
      <w:r>
        <w:rPr>
          <w:rFonts w:ascii="Times New Roman" w:hAnsi="Times New Roman" w:cs="Times New Roman"/>
          <w:b/>
          <w:sz w:val="28"/>
          <w:szCs w:val="28"/>
        </w:rPr>
        <w:t xml:space="preserve">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评分细则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38"/>
        <w:gridCol w:w="553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tblHeader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评分子项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评分标准、依据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2021年01月01日以来具有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预算编制或评审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分，在此基础上每增加1个工程造价咨询业绩加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分，最多加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分。本项满分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2、2021年01月01日以来具有1个结算审核业绩得5分，在此基础上每增加1个类似业绩加2.5分，最多加5分。本项最多得10分。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注：1.业绩需提供中标（成交）通知书或合同或协议书的复印件，加盖征选申请人公章，未按要求提供证明材料的不得分。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服务方案及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质量控制度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服务组织方案、咨询服务方案：优得7-8 分；一般得4-6 分，差得1-3分，无不得分。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本工程造价咨询的难点、要点阐述：优得7-8 分；一般得4-6 分，差得1-3分，无不得分。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工作流程：工作流程科学、合理、满足目标任务要求，节点控制严密、控制方法：优得7-8 分；一般得4-6 分，差得1-3分，无不得分。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组织协调：组织架构合理，人员配置齐全，组织协调措施：优得7-8 分；一般得4-6 分，差得1-3分，无不得分。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质量控制：咨询服务方案中质量控制措施和方法：优得7-8 分；一般得4-6 分，差得1-3分，无不得分。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具有全国注册造价工程师(土建或安装)或一级注册造价师（土木建筑或安装）证书得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分，具有工程师及以上职称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分，本项最多得1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技术团队人员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1、土建负责人（1 人）：具备全国注册造价工程师（土建）或一级造价工程师资格（土木建筑）得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分，同时具有工程师及以上职称加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分，本项最多得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2、安装负责人（1 人）：具备全国注册造价工程师（安装工程）或一级造价工程师资格（安装工程）得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分，同时具有工程师及以上职称加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分，本项最多得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3、其他项目组成员：每增派 1 名二级注册造价师（造价员）得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分，本项满分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注：所有人员注册证书均应注册在本单位。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</w:tbl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51"/>
    <w:rsid w:val="00012DD0"/>
    <w:rsid w:val="00022621"/>
    <w:rsid w:val="00117AA9"/>
    <w:rsid w:val="00180351"/>
    <w:rsid w:val="00364ABB"/>
    <w:rsid w:val="004A0119"/>
    <w:rsid w:val="005D104C"/>
    <w:rsid w:val="006962D4"/>
    <w:rsid w:val="007A02C8"/>
    <w:rsid w:val="007B53DC"/>
    <w:rsid w:val="00806AAE"/>
    <w:rsid w:val="00822C6F"/>
    <w:rsid w:val="0093549F"/>
    <w:rsid w:val="009844E6"/>
    <w:rsid w:val="00D03AE0"/>
    <w:rsid w:val="00F6261C"/>
    <w:rsid w:val="00FB3C2B"/>
    <w:rsid w:val="00FD6966"/>
    <w:rsid w:val="00FE1881"/>
    <w:rsid w:val="0332171E"/>
    <w:rsid w:val="04810487"/>
    <w:rsid w:val="08301C6E"/>
    <w:rsid w:val="0E1A6C88"/>
    <w:rsid w:val="127B2473"/>
    <w:rsid w:val="1DA005DB"/>
    <w:rsid w:val="203F5056"/>
    <w:rsid w:val="25633CE3"/>
    <w:rsid w:val="2AFF477E"/>
    <w:rsid w:val="38957C8C"/>
    <w:rsid w:val="3D755753"/>
    <w:rsid w:val="48930FDF"/>
    <w:rsid w:val="49FA52D7"/>
    <w:rsid w:val="4DEC5F1A"/>
    <w:rsid w:val="5466772C"/>
    <w:rsid w:val="677F42B9"/>
    <w:rsid w:val="6E0211CD"/>
    <w:rsid w:val="72D052A6"/>
    <w:rsid w:val="7BFE7358"/>
    <w:rsid w:val="7FD83AA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2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5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6">
    <w:name w:val="批注文字 Char"/>
    <w:basedOn w:val="8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7">
    <w:name w:val="批注框文本 Char"/>
    <w:basedOn w:val="8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8">
    <w:name w:val="页眉 Char"/>
    <w:basedOn w:val="8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脚 Char"/>
    <w:basedOn w:val="8"/>
    <w:link w:val="5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1811</Characters>
  <Lines>15</Lines>
  <Paragraphs>4</Paragraphs>
  <TotalTime>4</TotalTime>
  <ScaleCrop>false</ScaleCrop>
  <LinksUpToDate>false</LinksUpToDate>
  <CharactersWithSpaces>2124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2024-09-24T01:04:00Z</cp:lastPrinted>
  <dcterms:modified xsi:type="dcterms:W3CDTF">2024-09-24T06:20:27Z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