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highlight w:val="none"/>
        </w:rPr>
      </w:pPr>
      <w:r>
        <w:rPr>
          <w:rFonts w:ascii="Times New Roman" w:hAnsi="Times New Roman" w:eastAsia="方正小标宋_GBK" w:cs="Times New Roman"/>
          <w:bCs/>
          <w:sz w:val="44"/>
          <w:szCs w:val="44"/>
          <w:highlight w:val="none"/>
        </w:rPr>
        <w:t>成都市龙泉驿区中医医院</w:t>
      </w:r>
      <w:r>
        <w:rPr>
          <w:rFonts w:hint="eastAsia" w:ascii="Times New Roman" w:hAnsi="Times New Roman" w:eastAsia="方正小标宋_GBK" w:cs="Times New Roman"/>
          <w:bCs/>
          <w:sz w:val="44"/>
          <w:szCs w:val="44"/>
          <w:highlight w:val="none"/>
          <w:lang w:eastAsia="zh-CN"/>
        </w:rPr>
        <w:t>全国严重创伤救治信息交互联动系统</w:t>
      </w:r>
      <w:r>
        <w:rPr>
          <w:rFonts w:ascii="Times New Roman" w:hAnsi="Times New Roman" w:eastAsia="方正小标宋_GBK" w:cs="Times New Roman"/>
          <w:bCs/>
          <w:sz w:val="44"/>
          <w:szCs w:val="44"/>
          <w:highlight w:val="none"/>
        </w:rPr>
        <w:t>比选文件</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第一章 比选要求</w:t>
      </w:r>
    </w:p>
    <w:p>
      <w:pPr>
        <w:spacing w:line="360" w:lineRule="auto"/>
        <w:rPr>
          <w:rFonts w:ascii="Times New Roman" w:hAnsi="Times New Roman" w:cs="Times New Roman"/>
          <w:b/>
          <w:bCs/>
          <w:sz w:val="28"/>
          <w:szCs w:val="28"/>
          <w:highlight w:val="none"/>
        </w:rPr>
      </w:pPr>
      <w:r>
        <w:rPr>
          <w:rFonts w:ascii="Times New Roman" w:hAnsi="Times New Roman" w:cs="Times New Roman"/>
          <w:b/>
          <w:bCs/>
          <w:sz w:val="28"/>
          <w:szCs w:val="28"/>
          <w:highlight w:val="none"/>
        </w:rPr>
        <w:t>一、项目概况</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1、根据业务需要采购</w:t>
      </w:r>
      <w:r>
        <w:rPr>
          <w:rFonts w:hint="eastAsia" w:ascii="Times New Roman" w:hAnsi="Times New Roman" w:cs="Times New Roman"/>
          <w:sz w:val="28"/>
          <w:szCs w:val="28"/>
          <w:highlight w:val="none"/>
          <w:lang w:eastAsia="zh-CN"/>
        </w:rPr>
        <w:t>全国严重创伤救治信息交互联动系统</w:t>
      </w:r>
      <w:r>
        <w:rPr>
          <w:rFonts w:hint="eastAsia" w:ascii="Times New Roman" w:hAnsi="Times New Roman" w:cs="Times New Roman"/>
          <w:sz w:val="28"/>
          <w:szCs w:val="28"/>
          <w:highlight w:val="none"/>
        </w:rPr>
        <w:t>服务供应商1名。</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2、</w:t>
      </w:r>
      <w:r>
        <w:rPr>
          <w:rFonts w:hint="eastAsia" w:ascii="Times New Roman" w:hAnsi="Times New Roman" w:cs="Times New Roman"/>
          <w:sz w:val="28"/>
          <w:szCs w:val="28"/>
          <w:highlight w:val="none"/>
          <w:lang w:eastAsia="zh-CN"/>
        </w:rPr>
        <w:t>服务</w:t>
      </w:r>
      <w:r>
        <w:rPr>
          <w:rFonts w:hint="eastAsia" w:ascii="Times New Roman" w:hAnsi="Times New Roman" w:cs="Times New Roman"/>
          <w:sz w:val="28"/>
          <w:szCs w:val="28"/>
          <w:highlight w:val="none"/>
        </w:rPr>
        <w:t>周期：</w:t>
      </w:r>
      <w:r>
        <w:rPr>
          <w:rFonts w:hint="eastAsia" w:ascii="Times New Roman" w:hAnsi="Times New Roman" w:cs="Times New Roman"/>
          <w:sz w:val="28"/>
          <w:szCs w:val="28"/>
          <w:highlight w:val="none"/>
          <w:lang w:val="en-US" w:eastAsia="zh-CN"/>
        </w:rPr>
        <w:t>3年</w:t>
      </w:r>
      <w:bookmarkStart w:id="0" w:name="_GoBack"/>
      <w:bookmarkEnd w:id="0"/>
    </w:p>
    <w:p>
      <w:pPr>
        <w:spacing w:line="360" w:lineRule="auto"/>
        <w:rPr>
          <w:rFonts w:hint="eastAsia" w:ascii="Times New Roman" w:hAnsi="Times New Roman" w:cs="Times New Roman"/>
          <w:sz w:val="28"/>
          <w:szCs w:val="28"/>
          <w:highlight w:val="none"/>
        </w:rPr>
      </w:pPr>
      <w:r>
        <w:rPr>
          <w:rFonts w:hint="eastAsia" w:ascii="Times New Roman" w:hAnsi="Times New Roman" w:cs="Times New Roman"/>
          <w:sz w:val="28"/>
          <w:szCs w:val="28"/>
          <w:highlight w:val="none"/>
        </w:rPr>
        <w:t>3、项目预算：</w:t>
      </w:r>
      <w:r>
        <w:rPr>
          <w:rFonts w:hint="eastAsia" w:ascii="Times New Roman" w:hAnsi="Times New Roman" w:cs="Times New Roman"/>
          <w:sz w:val="28"/>
          <w:szCs w:val="28"/>
          <w:highlight w:val="none"/>
          <w:lang w:val="en-US" w:eastAsia="zh-CN"/>
        </w:rPr>
        <w:t>6</w:t>
      </w:r>
      <w:r>
        <w:rPr>
          <w:rFonts w:hint="eastAsia" w:ascii="Times New Roman" w:hAnsi="Times New Roman" w:cs="Times New Roman"/>
          <w:sz w:val="28"/>
          <w:szCs w:val="28"/>
          <w:highlight w:val="none"/>
        </w:rPr>
        <w:t>万元。</w:t>
      </w:r>
    </w:p>
    <w:p>
      <w:pPr>
        <w:spacing w:line="360" w:lineRule="auto"/>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sz w:val="28"/>
          <w:szCs w:val="28"/>
          <w:highlight w:val="none"/>
          <w:lang w:val="en-US" w:eastAsia="zh-CN"/>
        </w:rPr>
        <w:t>4、项目周期：15个工作日。</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二、比选报名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（一）供应商报名条件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1．符合《中华人民共和国政府采购法》第二十二条之规定，具体如下：</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1.1 具有独立承担民事责任的能力；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1.2 具有良好的商业信誉和健全的财务会计制度；</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1.3 具有履行合同所必需的设备和专业技术能力；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1.4 有依法缴纳税收和社会保障资金的良好记录；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1.5 参加政府采购活动前三年内，在经营活动中没有重大违法记录；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1.6 法律、行政法规规定的其他条件。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2．本项目不接受联合体参加比选。</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3．本项目特定要求：</w:t>
      </w:r>
      <w:r>
        <w:rPr>
          <w:rFonts w:hint="eastAsia" w:ascii="Times New Roman" w:hAnsi="Times New Roman" w:cs="Times New Roman"/>
          <w:sz w:val="28"/>
          <w:szCs w:val="28"/>
          <w:highlight w:val="none"/>
        </w:rPr>
        <w:t>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（二）报名要求</w:t>
      </w:r>
      <w:r>
        <w:rPr>
          <w:rFonts w:ascii="Times New Roman" w:hAnsi="Times New Roman" w:cs="Times New Roman"/>
          <w:sz w:val="28"/>
          <w:szCs w:val="28"/>
          <w:highlight w:val="none"/>
        </w:rPr>
        <w:t>：</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按要求时间提交响应文件视为报名。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三、比选文件领取方式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通过医院官网下载比选文件。</w:t>
      </w:r>
    </w:p>
    <w:p>
      <w:pPr>
        <w:spacing w:line="360" w:lineRule="auto"/>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t>四、响应文件接收时间和地点</w:t>
      </w:r>
    </w:p>
    <w:p>
      <w:pPr>
        <w:spacing w:line="360" w:lineRule="auto"/>
        <w:rPr>
          <w:rFonts w:ascii="Times New Roman" w:hAnsi="Times New Roman" w:eastAsia="方正仿宋_GBK" w:cs="Times New Roman"/>
          <w:sz w:val="28"/>
          <w:szCs w:val="28"/>
          <w:highlight w:val="none"/>
        </w:rPr>
      </w:pPr>
      <w:r>
        <w:rPr>
          <w:rFonts w:ascii="Times New Roman" w:hAnsi="Times New Roman" w:eastAsia="宋体" w:cs="Times New Roman"/>
          <w:sz w:val="28"/>
          <w:szCs w:val="28"/>
          <w:highlight w:val="none"/>
        </w:rPr>
        <w:t>文件递交时间：2024年</w:t>
      </w:r>
      <w:r>
        <w:rPr>
          <w:rFonts w:hint="eastAsia" w:ascii="Times New Roman" w:hAnsi="Times New Roman" w:eastAsia="宋体" w:cs="Times New Roman"/>
          <w:sz w:val="28"/>
          <w:szCs w:val="28"/>
          <w:highlight w:val="none"/>
          <w:lang w:val="en-US" w:eastAsia="zh-CN"/>
        </w:rPr>
        <w:t>9</w:t>
      </w:r>
      <w:r>
        <w:rPr>
          <w:rFonts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6</w:t>
      </w:r>
      <w:r>
        <w:rPr>
          <w:rFonts w:ascii="Times New Roman" w:hAnsi="Times New Roman" w:eastAsia="宋体" w:cs="Times New Roman"/>
          <w:sz w:val="28"/>
          <w:szCs w:val="28"/>
          <w:highlight w:val="none"/>
        </w:rPr>
        <w:t>日</w:t>
      </w:r>
      <w:r>
        <w:rPr>
          <w:rFonts w:hint="eastAsia" w:ascii="Times New Roman" w:hAnsi="Times New Roman" w:eastAsia="方正仿宋_GBK" w:cs="Times New Roman"/>
          <w:sz w:val="28"/>
          <w:szCs w:val="28"/>
          <w:highlight w:val="none"/>
        </w:rPr>
        <w:t>09:30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10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0</w:t>
      </w:r>
      <w:r>
        <w:rPr>
          <w:rFonts w:ascii="Times New Roman" w:hAnsi="Times New Roman" w:eastAsia="方正仿宋_GBK" w:cs="Times New Roman"/>
          <w:sz w:val="28"/>
          <w:szCs w:val="28"/>
          <w:highlight w:val="none"/>
        </w:rPr>
        <w:t>0</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文件接收地点：成都市龙泉驿区青台山路222号</w:t>
      </w:r>
    </w:p>
    <w:p>
      <w:pPr>
        <w:spacing w:line="360" w:lineRule="auto"/>
        <w:ind w:left="1984" w:leftChars="945"/>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成都市龙泉驿区中医医院门诊5楼采购科</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联系人：董老师</w:t>
      </w:r>
    </w:p>
    <w:p>
      <w:pPr>
        <w:spacing w:line="360" w:lineRule="auto"/>
        <w:rPr>
          <w:rFonts w:ascii="Times New Roman" w:hAnsi="Times New Roman" w:cs="Times New Roman"/>
          <w:sz w:val="28"/>
          <w:szCs w:val="28"/>
          <w:highlight w:val="none"/>
        </w:rPr>
      </w:pPr>
      <w:r>
        <w:rPr>
          <w:rFonts w:ascii="Times New Roman" w:hAnsi="Times New Roman" w:eastAsia="宋体" w:cs="Times New Roman"/>
          <w:sz w:val="28"/>
          <w:szCs w:val="28"/>
          <w:highlight w:val="none"/>
        </w:rPr>
        <w:t>联系方式：028-60659207</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五、比选时间、地点及方式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比选时间：2024年</w:t>
      </w:r>
      <w:r>
        <w:rPr>
          <w:rFonts w:hint="eastAsia" w:ascii="Times New Roman" w:hAnsi="Times New Roman" w:cs="Times New Roman"/>
          <w:sz w:val="28"/>
          <w:szCs w:val="28"/>
          <w:highlight w:val="none"/>
          <w:lang w:val="en-US" w:eastAsia="zh-CN"/>
        </w:rPr>
        <w:t>9</w:t>
      </w:r>
      <w:r>
        <w:rPr>
          <w:rFonts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6</w:t>
      </w:r>
      <w:r>
        <w:rPr>
          <w:rFonts w:ascii="Times New Roman" w:hAnsi="Times New Roman" w:cs="Times New Roman"/>
          <w:sz w:val="28"/>
          <w:szCs w:val="28"/>
          <w:highlight w:val="none"/>
        </w:rPr>
        <w:t>日</w:t>
      </w:r>
      <w:r>
        <w:rPr>
          <w:rFonts w:hint="eastAsia" w:ascii="Times New Roman" w:hAnsi="Times New Roman" w:cs="Times New Roman"/>
          <w:sz w:val="28"/>
          <w:szCs w:val="28"/>
          <w:highlight w:val="none"/>
        </w:rPr>
        <w:t>上</w:t>
      </w:r>
      <w:r>
        <w:rPr>
          <w:rFonts w:ascii="Times New Roman" w:hAnsi="Times New Roman" w:cs="Times New Roman"/>
          <w:sz w:val="28"/>
          <w:szCs w:val="28"/>
          <w:highlight w:val="none"/>
        </w:rPr>
        <w:t>午</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比选地点：成都市龙泉驿区中医医院会议室</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比选方式：</w:t>
      </w:r>
      <w:r>
        <w:rPr>
          <w:rFonts w:hint="eastAsia" w:ascii="Times New Roman" w:hAnsi="Times New Roman" w:cs="Times New Roman"/>
          <w:sz w:val="28"/>
          <w:szCs w:val="28"/>
          <w:highlight w:val="none"/>
        </w:rPr>
        <w:t>最低评标价法</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第二章 供应商服务内容和要求</w:t>
      </w: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一、服务要求（实质性要求）</w:t>
      </w:r>
    </w:p>
    <w:tbl>
      <w:tblPr>
        <w:tblStyle w:val="8"/>
        <w:tblW w:w="941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582"/>
        <w:gridCol w:w="5413"/>
        <w:gridCol w:w="567"/>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分项名称</w:t>
            </w:r>
          </w:p>
        </w:tc>
        <w:tc>
          <w:tcPr>
            <w:tcW w:w="1582"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规格型号</w:t>
            </w:r>
          </w:p>
        </w:tc>
        <w:tc>
          <w:tcPr>
            <w:tcW w:w="5413"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技术参数</w:t>
            </w:r>
          </w:p>
        </w:tc>
        <w:tc>
          <w:tcPr>
            <w:tcW w:w="567"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数量</w:t>
            </w:r>
          </w:p>
        </w:tc>
        <w:tc>
          <w:tcPr>
            <w:tcW w:w="573"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救护车端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1.支持院前急救团队在救护车上为病人进行急救电子病历建档，登记包括：病人姓名、性别、年龄等人口学信息。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2.支持登记病人的病情信息及发病情况，包括：MPDS症状、病情判断、发病时间、发病地点等。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3.支持登记病人全面的院前创伤诊疗信息，包括：主诉、现病史、既往史、生命体征、体格检查、院前诊断、抢救措施等。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4.信息登记时支持身份证扫描识别，简化登记流程，提高工作效率。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5.针对无法提供有效身份信息的病人，支持自动赋予无名氏编码，简化登记流程，不延误病人救治。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6.支持展示所记录病人关键救治节点信息，包括：发病时间、呼救时间、到达现场、离开现场、到达医院等。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评估工具模块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1.支持提供评分工具以辅助院前急救团队快速评估病人状况。评分包括：GCS昏迷指数、TI创伤指数等。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2.支持医护人员实时查看各项得分及评分结果，便于医护人员对病人状况进行全面了解和掌握。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3.支持对评分进行修改，交接后则不再允许修改。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语音录入模块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1.支持通过语音录入快速生成电子病历，通过先进的语音转文字技术，准确识别院前急救团队的语音输入，并智能转换为结构化电子病历，提高登记的效率。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2.支持语音录入的字段包括：姓名、性别、年龄、身份证号、病情判断、主诉、既往史、抢救措施类型、用药情况、舒张压、收缩压、心率、体温、呼吸频率等。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院前信息预警模块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院前信息预警：支持院前急救团队一键将病人病历信息和救护车位置预警到院内，并询问急诊急救团队是否接收。以保证病人在到达急诊前，院前信息提前传输至医院。实现院前急救团队、急诊急救团队的高效衔接，提高救治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2.支持展示院内急诊急救团队对于预警信息接收或拒绝的信息反馈。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3.支持取消预警，并填写取消原因。取消预警后，支持重新发起预警。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区域资源调度模块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1.在救护车将患者转送至医院过程中，支持推荐最近的救治医院。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2.支持查看医院名称、医院等级、位置距离等信息。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3.支持人工检索医院，通过医院名称自助搜索、查看并选择救治医院。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4.支持快捷选择救治医院：通过呼叫历史，自动设置常用的救治医院清单。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1.支持院前急救团队发起视频通话，实时与院内急诊急救团队进行音视频会诊通话。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2.视频时支持静音，并支持切换前置/后置摄像头。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3.支持查看远程音视频会诊的呼叫记录，内容包括院前会诊医护，当前状态及会诊时长等，便于院前急救人员回顾会诊记录。</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4.支持救护车暂时退出后再次进入会诊。</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急诊室端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1.支持急诊急救团队对病人进行院内电子病历建档，登记包括：病人姓名、性别、年龄等人口学信息。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2.支持登记病人的门急诊接诊信息，包括：MPDS症状、病情判断、发病地点、院内接诊类型等。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3.支持登记病人全面的院内创伤诊疗信息，包括：门急诊、住院、转院信息，并支持查看院前信息。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3.1院前信息包括：院前时刻记录、院前诊断、院前主诉、现病史、既往史、生命体征、体格检查、抢救措施、治疗药物、心电图、语音信息等。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3.2门急诊信息包括：主诉、现病史、既往史、体格检查、入院诊断、生命体征、抢救措施、检验检查等，以及病人去向信息，包括急诊离院、住院、转院、死亡、急诊留观、其他、转归时间、救治结局等。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3.3住院信息包括：住院科室、接收医生、入院时间、出院时间、ICU信息、诊断符合情况、抢救情况等。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3.4转院信息包括：病情信息、呼叫转院时间、接收医院、转院状态等。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4.针对无法提供有效身份信息的病人，支持自动赋予无名氏编码，简化登记流程，不延误病人救治。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5.支持查看病人救治轨迹，包括：呼救时间、离开现场、到达门/急诊时间、会诊签到、转归时间。</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评估工具模块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1.支持提供评分工具以辅助院前急救人员快速评估病人状况。评分包括：GCS昏迷指数、TI创伤指数、ISS-AIS评分等。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2.支持医护人员实时查看各项得分及评分结果，便于医护人员对病人状况进行全面了解和掌握。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3.支持对评分进行修改，以便对错误数据及时校正。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4.支持打印创伤相关的各项得分及评分结果，方便医护人员将相关信息以纸质形式存档或传递给其他协作人员。</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院前院内信息预警模块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1.支持查看院前预警信息，预警信息包括病情概览：病人姓名、性别、年龄、MPDS症状、病情判断、生命体征、主诉。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2.支持查看院前病历详情，包括：院前时刻记录、院前诊断、院前主诉、现病史、既往史、生命体征、体格检查、抢救措施、治疗药物、心电图、语音信息等。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3.支持对信息预警进行接收或拒绝，拒绝时，支持进行弹框二次确认。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4.如院前取消预警，支持查看取消的通知及查看取消原因。</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院前交接单模块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1.支持自动生成院前院内交接单，包括病人基本信息、院前诊断、主诉、现病史、既往史、生命体征、体格检查、抢救措施、重要时刻、交接医护等。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2.支持预览及打印院前院内交接单。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会诊通知模块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1.支持急诊急救团队一键通知专科救治团队或指定团队成员赶至指定会诊地点，并传送患者病情分类及症状描述信息。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2.支持采用电话通知的方式，进行语音播报，同时支持短信通知，确保重要信息的传递不会因通讯方式的问题而被阻碍。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3.支持专科救治团队进行会诊签到，并支持补签，签到后可查看到达状况、签到时间。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4.支持查看会诊呼叫历史，包括病人信息、呼叫时间、呼叫医生、呼叫状态、接听时间等。支持再次呼叫未接听的医生。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5.支持快速筛选最近七天、最近三十天或特定时间段的会诊通知，以便医护人员根据实际需要查阅相关会诊通知，提升工作效率。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一键导出会诊通知记录，导出字段包括：病人信息、会诊医生信息、呼叫时间、接听时间、签到时间、呼叫签到时间差等。方便医护人员或管理人员整理、分析或存档相关数据，从而更好地辅助医院的急诊管理工作。</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7.支持在呼叫选择时，按照科室或急救小组的分组筛选方式，同时支持按照医生姓名的模糊查询方式，快速筛选出会诊医生。支持按照病人姓名、MPDS症状、来源快速筛选病人，并支持快速登记病人症状描述。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8.支持查看医生的当前值班状态，方便呼叫正在值班的医生。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1.支持接收院前发起的远程音视频会诊，并选择接听或拒绝。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2.支持院前远程音视频会诊：支持向院前救护车发起远程音视频通话。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3.支持跨院远程音视频会诊：支持向其他医院发起远程音视频通话。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4.支持在远程音视频会诊过程中，邀请本院急诊急救团队、专科救治团队进入会诊。支持邀请其他医院进入会诊。可通过检索快速找到本院医生及网络医院。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5.支持在远程音视频会诊过程中，查看救护车信息、病人姓名、MPDS症状、主诉、联系电话、生命体征等。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6.支持未能及时参与或因事暂时退出远程音视频会诊的医生，再次进入会诊。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7.支持查看远程音视频会诊的邀请记录，包括会诊医生/会诊医院名称，呼叫时间及会诊时长等，便于院前急救人员回顾会诊过程。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8.支持按照救护车牌号、会诊时间，快速筛选会诊记录。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院际转运模块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1.支持发起转诊申请，并支持查看接收医院是否接收该申请。</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2.支持按照省-市筛选接收医院，同时支持手动检索，模糊匹配。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3.支持转院病人的电子病历共享，将病人在当前医院的基本信息、评分、病情判断、当前在院情况描述等信息传输到接收医院。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4.支持查阅病人的转院记录，包括患者姓名、性别、年龄、MPDS症状、病情判断、呼叫转院时间、接收医院、紧急联系人、联系电话、转院状态等。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5.提供灵活的病人筛选机制，支持根据病人姓名、病情判断、呼叫时间、转院状态等多种条件筛选。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业务数据分析模块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1.支持查看数据概览，统计特定时间段、特定MPDS分类的就诊病人数、转入病人数及转出病人数，同时支持查看变化趋势。支持查看院前院内、MPDS分类统计情况、性别、年龄占比情况统计。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2.支持查看MPDS症状的分类统计，统计特定时间段内的MPDS症状分布，及时了解病人的发病原因。</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创伤质控指标（《创伤中心医疗质量控制指标（试行）》），统计本院上周或特定时间段的质控指标，包括：院前急救转运时间、信息预警比例、门（急）诊准备时间、到达门（急）诊至完成全身快速CT的时间、到达门（急）诊至完成胸部X片的时间、到达门（急）诊至完成骨盆X片的时间、到达门（急）诊至完成FAST检查的时间、门急诊输血准备时间、人工气道建立时间、紧急手术术前准备时间、门（急）诊停留时间、严重创伤病人数量、严重创伤病人病死率、严重创伤病人住院时间、严重创伤病人ICU住院时间、创伤病人总数量、创伤病人病死率、接受外院转诊病人比例、转诊治疗的创伤病人比例、创伤评分GCS完成比例、创伤评分TI完成比例、创伤评分ISS完成比例、医院创伤数据上报系统填报完整度、创伤中心质控会议召开情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4.支持统计指标与国家创伤医学中心的平均值进行对比，便于管理者评估优于标准或差于标准的指标。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5.支持查看院前数据的统计，统计特定时间内的出车数量、非空车数量和空车数量的值与趋势、患者性别、年龄分布、转运时间变化趋势。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6.支持查看特定周期的基本数据周报，及等级变化趋势，方便及时改进数据质量。同时，支持导出不完整数据名单，及时定位问题进行校正。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7.支持查看详细数据列表，并按照筛选条件对病历数据进行导出，筛选条件包括：病人姓名、性别、病情判断、来院方式、MPDS症状、创建时间、创建医生、病人分类等。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创伤质控数据上报管理</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1.提供符合国家创伤医学中心质控要求的上报库，以便记录和管理创伤病人数据。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2.支持按照纳排规则，将符合上报要求的创伤病人数据自动纳入到上报库中。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3.支持对待上报的数据进行编辑，保证修改后的内容符合上报要求。编辑时支持查看必填项及质控项。</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4.支持查看质控详情，预览个人指标、质控对象和填报情况，以确保数据的准确性和完整性。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5.支持提交上报时进行自动核查，拦截数据的错项漏项，并提醒操作人员进行修改，以符合国家质控数据规范要求。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6.支持查看数据的完整度是否符合上报要求。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创伤质控数据上报</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1.支持单个数据和批量数据的上报。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2.支持查看待上报的数据，以及已上报数据，合理评估填报工作量，做好填报计划。</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3.支持按照病人姓名、门/急诊ID、住院ID、填报员等，筛选展示需要的数据。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4.支持与国家创伤医学中心数据对接，确保符合国家创伤医疗数据的标准。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创伤质控数据导出</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1.支持将上报库的数据导出为Excel格式，方便用户进行数据存档、处理和分析。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2.支持全量就诊数据的导出，并且可以根据用户自定义的筛选条件进行导出，以满足用户的不同需求。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3.导出的数据范围涵盖所有与质量控制相关的字段，确保数据的完整性。</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周报短信</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1.支持为院方管理者每周推送短信周报，方便管理者及时掌握上报情况及数据填写质量。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周报短信内容包括：医院名称、填报周期、填报得分、填报等级，全国排名，省市排名，以及该周期内的创伤数据增量、MPDS填报比例、生命体征填报比例、TI评分填报比例、GCS评分填报比例、ISS评分填报比例、住院ID/门诊ID填报比例、质控数据记录平均填报完整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3.支持灵活管理接收信息的管理者名单，快速添加或移除接收信息的对象。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系统设置</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1.支持对院内科室信息、医生信息、急救小组、救护车、激活码、呼叫地点等信息的设置及维护。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2.支持账号角色权限的配置。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3.支持查看当前系统版本及版本更新。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4.支持系统的意见与反馈。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医护端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支持院内专科医生查看及完善电子病历信息，信息如下：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1.一般信息包括：姓名、性别、年龄、证件号、MPDS症状、发病地点、送达时间。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2.诊疗信息包括：主诉、病史、诊断、体格检查、生命体征、评分工具、治疗措施、病人去向等。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1.支持接收院内急诊急救团队发送的视频会诊邀请，可接收视频会诊通知信息。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2.支持与院前急救团队、急诊急救团队、专科救治团队实现多方音视频会诊。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bl>
    <w:p>
      <w:pPr>
        <w:spacing w:line="240" w:lineRule="atLeast"/>
        <w:rPr>
          <w:rFonts w:hint="default" w:ascii="Times New Roman" w:hAnsi="Times New Roman" w:cs="Times New Roman" w:eastAsiaTheme="minorEastAsia"/>
          <w:bCs/>
          <w:sz w:val="28"/>
          <w:szCs w:val="28"/>
          <w:highlight w:val="none"/>
          <w:shd w:val="clear" w:color="auto" w:fill="auto"/>
          <w:lang w:val="en-US" w:eastAsia="zh-CN"/>
        </w:rPr>
      </w:pP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二、商务要求（实质性要求）</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1、付款方式：</w:t>
      </w:r>
      <w:r>
        <w:rPr>
          <w:rFonts w:hint="eastAsia" w:ascii="Times New Roman" w:hAnsi="Times New Roman" w:cs="Times New Roman"/>
          <w:sz w:val="28"/>
          <w:szCs w:val="28"/>
          <w:highlight w:val="none"/>
          <w:lang w:eastAsia="zh-CN"/>
        </w:rPr>
        <w:t>双方签订协议后，乙方完成系统部署并验收合格后支付款项</w:t>
      </w:r>
      <w:r>
        <w:rPr>
          <w:rFonts w:hint="eastAsia" w:ascii="Times New Roman" w:hAnsi="Times New Roman" w:cs="Times New Roman"/>
          <w:sz w:val="28"/>
          <w:szCs w:val="28"/>
          <w:highlight w:val="none"/>
        </w:rPr>
        <w:t>。</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2、报价要求：本项目报价不得超过项目预算。</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第三章  比选程序及评审标准</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一、</w:t>
      </w:r>
      <w:r>
        <w:rPr>
          <w:rFonts w:ascii="Times New Roman" w:hAnsi="Times New Roman" w:cs="Times New Roman"/>
          <w:sz w:val="28"/>
          <w:szCs w:val="28"/>
          <w:highlight w:val="none"/>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w:t>
      </w:r>
      <w:r>
        <w:rPr>
          <w:rFonts w:ascii="Times New Roman" w:hAnsi="Times New Roman" w:cs="Times New Roman"/>
          <w:sz w:val="28"/>
          <w:szCs w:val="28"/>
          <w:highlight w:val="none"/>
        </w:rPr>
        <w:t>、评选委员会根据评审要求对供应商申报材料进行评审，按</w:t>
      </w:r>
      <w:r>
        <w:rPr>
          <w:rFonts w:hint="eastAsia" w:ascii="Times New Roman" w:hAnsi="Times New Roman" w:cs="Times New Roman"/>
          <w:sz w:val="28"/>
          <w:szCs w:val="28"/>
          <w:highlight w:val="none"/>
        </w:rPr>
        <w:t>报价</w:t>
      </w:r>
      <w:r>
        <w:rPr>
          <w:rFonts w:ascii="Times New Roman" w:hAnsi="Times New Roman" w:cs="Times New Roman"/>
          <w:sz w:val="28"/>
          <w:szCs w:val="28"/>
          <w:highlight w:val="none"/>
        </w:rPr>
        <w:t>由</w:t>
      </w:r>
      <w:r>
        <w:rPr>
          <w:rFonts w:hint="eastAsia" w:ascii="Times New Roman" w:hAnsi="Times New Roman" w:cs="Times New Roman"/>
          <w:sz w:val="28"/>
          <w:szCs w:val="28"/>
          <w:highlight w:val="none"/>
        </w:rPr>
        <w:t>低</w:t>
      </w:r>
      <w:r>
        <w:rPr>
          <w:rFonts w:ascii="Times New Roman" w:hAnsi="Times New Roman" w:cs="Times New Roman"/>
          <w:sz w:val="28"/>
          <w:szCs w:val="28"/>
          <w:highlight w:val="none"/>
        </w:rPr>
        <w:t>到</w:t>
      </w:r>
      <w:r>
        <w:rPr>
          <w:rFonts w:hint="eastAsia" w:ascii="Times New Roman" w:hAnsi="Times New Roman" w:cs="Times New Roman"/>
          <w:sz w:val="28"/>
          <w:szCs w:val="28"/>
          <w:highlight w:val="none"/>
        </w:rPr>
        <w:t>高</w:t>
      </w:r>
      <w:r>
        <w:rPr>
          <w:rFonts w:ascii="Times New Roman" w:hAnsi="Times New Roman" w:cs="Times New Roman"/>
          <w:sz w:val="28"/>
          <w:szCs w:val="28"/>
          <w:highlight w:val="none"/>
        </w:rPr>
        <w:t>排序。由评比选委员会确定排序第一的为成交供应商。排名第一的成交供应商放弃成交的，确定排名第二的为成交供应商，依次类推。</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第四章 响应文件要求</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一、比选申请函（格式自拟）；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二、报价表（格式自拟）；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三、符合《政府采购法》第二十二条的证明材料及相关的承诺函；</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四、特定要求（资格）证明文件；</w:t>
      </w:r>
      <w:r>
        <w:rPr>
          <w:rFonts w:ascii="Times New Roman" w:hAnsi="Times New Roman" w:cs="Times New Roman"/>
          <w:sz w:val="28"/>
          <w:szCs w:val="28"/>
          <w:highlight w:val="none"/>
        </w:rPr>
        <w:t xml:space="preserve"> </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五</w:t>
      </w:r>
      <w:r>
        <w:rPr>
          <w:rFonts w:ascii="Times New Roman" w:hAnsi="Times New Roman" w:cs="Times New Roman"/>
          <w:sz w:val="28"/>
          <w:szCs w:val="28"/>
          <w:highlight w:val="none"/>
        </w:rPr>
        <w:t>、法定代表人授权委托书（法定代表人本人参加的，不提交）；</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六</w:t>
      </w:r>
      <w:r>
        <w:rPr>
          <w:rFonts w:ascii="Times New Roman" w:hAnsi="Times New Roman" w:cs="Times New Roman"/>
          <w:sz w:val="28"/>
          <w:szCs w:val="28"/>
          <w:highlight w:val="none"/>
        </w:rPr>
        <w:t>、</w:t>
      </w:r>
      <w:r>
        <w:rPr>
          <w:rFonts w:hint="eastAsia" w:ascii="Times New Roman" w:hAnsi="Times New Roman" w:cs="Times New Roman"/>
          <w:sz w:val="28"/>
          <w:szCs w:val="28"/>
          <w:highlight w:val="none"/>
        </w:rPr>
        <w:t>服务要求及</w:t>
      </w:r>
      <w:r>
        <w:rPr>
          <w:rFonts w:ascii="Times New Roman" w:hAnsi="Times New Roman" w:cs="Times New Roman"/>
          <w:sz w:val="28"/>
          <w:szCs w:val="28"/>
          <w:highlight w:val="none"/>
        </w:rPr>
        <w:t>商务</w:t>
      </w:r>
      <w:r>
        <w:rPr>
          <w:rFonts w:hint="eastAsia" w:ascii="Times New Roman" w:hAnsi="Times New Roman" w:cs="Times New Roman"/>
          <w:sz w:val="28"/>
          <w:szCs w:val="28"/>
          <w:highlight w:val="none"/>
        </w:rPr>
        <w:t>要求</w:t>
      </w:r>
      <w:r>
        <w:rPr>
          <w:rFonts w:ascii="Times New Roman" w:hAnsi="Times New Roman" w:cs="Times New Roman"/>
          <w:sz w:val="28"/>
          <w:szCs w:val="28"/>
          <w:highlight w:val="none"/>
        </w:rPr>
        <w:t>响应文件；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七、其他证明材料。</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 xml:space="preserve">    供应商应保证所提交材料的合法性、真实性和有效性。响应文件需提交正本一份</w:t>
      </w:r>
      <w:r>
        <w:rPr>
          <w:rFonts w:hint="eastAsia" w:ascii="Times New Roman" w:hAnsi="Times New Roman" w:cs="Times New Roman"/>
          <w:sz w:val="28"/>
          <w:szCs w:val="28"/>
          <w:highlight w:val="none"/>
        </w:rPr>
        <w:t>，密封并加盖公章</w:t>
      </w:r>
      <w:r>
        <w:rPr>
          <w:rFonts w:ascii="Times New Roman" w:hAnsi="Times New Roman" w:cs="Times New Roman"/>
          <w:sz w:val="28"/>
          <w:szCs w:val="28"/>
          <w:highlight w:val="none"/>
        </w:rPr>
        <w:t>。</w:t>
      </w: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zViNDQxMTlmMTM2ODJmODBmMzFkYzQzNmE5YjEifQ=="/>
  </w:docVars>
  <w:rsids>
    <w:rsidRoot w:val="00180351"/>
    <w:rsid w:val="00012DD0"/>
    <w:rsid w:val="00022621"/>
    <w:rsid w:val="00053BB1"/>
    <w:rsid w:val="000B2AB5"/>
    <w:rsid w:val="000B4F92"/>
    <w:rsid w:val="000D0D7B"/>
    <w:rsid w:val="000D7295"/>
    <w:rsid w:val="00117AA9"/>
    <w:rsid w:val="0017244A"/>
    <w:rsid w:val="00180351"/>
    <w:rsid w:val="00182E78"/>
    <w:rsid w:val="00194672"/>
    <w:rsid w:val="001A5A03"/>
    <w:rsid w:val="001F579D"/>
    <w:rsid w:val="00210A12"/>
    <w:rsid w:val="002260AB"/>
    <w:rsid w:val="00235C1A"/>
    <w:rsid w:val="00257CB7"/>
    <w:rsid w:val="002938B9"/>
    <w:rsid w:val="002B388A"/>
    <w:rsid w:val="00314C62"/>
    <w:rsid w:val="00327DAA"/>
    <w:rsid w:val="003334BF"/>
    <w:rsid w:val="00364ABB"/>
    <w:rsid w:val="003B1863"/>
    <w:rsid w:val="003C62E0"/>
    <w:rsid w:val="003E1055"/>
    <w:rsid w:val="00410AF2"/>
    <w:rsid w:val="00444270"/>
    <w:rsid w:val="00466950"/>
    <w:rsid w:val="004A0119"/>
    <w:rsid w:val="0053438E"/>
    <w:rsid w:val="0054147A"/>
    <w:rsid w:val="005454FE"/>
    <w:rsid w:val="00563A74"/>
    <w:rsid w:val="005A48AC"/>
    <w:rsid w:val="005D104C"/>
    <w:rsid w:val="005D7936"/>
    <w:rsid w:val="00627691"/>
    <w:rsid w:val="006538AE"/>
    <w:rsid w:val="0068389A"/>
    <w:rsid w:val="006962D4"/>
    <w:rsid w:val="006A5B23"/>
    <w:rsid w:val="007405D2"/>
    <w:rsid w:val="007A02C8"/>
    <w:rsid w:val="007B1F3C"/>
    <w:rsid w:val="007B53DC"/>
    <w:rsid w:val="007F1035"/>
    <w:rsid w:val="00806AAE"/>
    <w:rsid w:val="00822C6F"/>
    <w:rsid w:val="0088037F"/>
    <w:rsid w:val="008A2670"/>
    <w:rsid w:val="008F7806"/>
    <w:rsid w:val="00906073"/>
    <w:rsid w:val="0093549F"/>
    <w:rsid w:val="00946CBC"/>
    <w:rsid w:val="0095567C"/>
    <w:rsid w:val="00970BD7"/>
    <w:rsid w:val="009844E6"/>
    <w:rsid w:val="00986DF2"/>
    <w:rsid w:val="00997236"/>
    <w:rsid w:val="00A964F9"/>
    <w:rsid w:val="00AE25BB"/>
    <w:rsid w:val="00B50CDC"/>
    <w:rsid w:val="00B75D5E"/>
    <w:rsid w:val="00B9648F"/>
    <w:rsid w:val="00C04D51"/>
    <w:rsid w:val="00C06A22"/>
    <w:rsid w:val="00C409F0"/>
    <w:rsid w:val="00C71A57"/>
    <w:rsid w:val="00CD2040"/>
    <w:rsid w:val="00CD76B3"/>
    <w:rsid w:val="00CE0DD0"/>
    <w:rsid w:val="00CE5FBE"/>
    <w:rsid w:val="00D03AE0"/>
    <w:rsid w:val="00D06B06"/>
    <w:rsid w:val="00E2216E"/>
    <w:rsid w:val="00E3569E"/>
    <w:rsid w:val="00E5513E"/>
    <w:rsid w:val="00E57DD3"/>
    <w:rsid w:val="00E739E6"/>
    <w:rsid w:val="00E8698A"/>
    <w:rsid w:val="00EE4C78"/>
    <w:rsid w:val="00F6261C"/>
    <w:rsid w:val="00F66D1A"/>
    <w:rsid w:val="00FB3C2B"/>
    <w:rsid w:val="00FC722D"/>
    <w:rsid w:val="00FD6966"/>
    <w:rsid w:val="00FE1881"/>
    <w:rsid w:val="02A74F4C"/>
    <w:rsid w:val="056513AF"/>
    <w:rsid w:val="091330F6"/>
    <w:rsid w:val="0B717DAA"/>
    <w:rsid w:val="0CFC5CD7"/>
    <w:rsid w:val="1922031E"/>
    <w:rsid w:val="1DA005DB"/>
    <w:rsid w:val="203F5056"/>
    <w:rsid w:val="22C17307"/>
    <w:rsid w:val="25B41231"/>
    <w:rsid w:val="260C5A63"/>
    <w:rsid w:val="265025A2"/>
    <w:rsid w:val="2A8844A6"/>
    <w:rsid w:val="2AFF477E"/>
    <w:rsid w:val="2BBA17BE"/>
    <w:rsid w:val="3419054F"/>
    <w:rsid w:val="38957C8C"/>
    <w:rsid w:val="391009B1"/>
    <w:rsid w:val="3C746548"/>
    <w:rsid w:val="3FCA6773"/>
    <w:rsid w:val="44442487"/>
    <w:rsid w:val="46BC4F7D"/>
    <w:rsid w:val="49053693"/>
    <w:rsid w:val="49FA52D7"/>
    <w:rsid w:val="4EB02170"/>
    <w:rsid w:val="4F5A759D"/>
    <w:rsid w:val="4F9D69E8"/>
    <w:rsid w:val="57061F28"/>
    <w:rsid w:val="59FD1B89"/>
    <w:rsid w:val="65D57533"/>
    <w:rsid w:val="677F42B9"/>
    <w:rsid w:val="6B735446"/>
    <w:rsid w:val="6E0211CD"/>
    <w:rsid w:val="6FEE5248"/>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qFormat/>
    <w:uiPriority w:val="0"/>
    <w:rPr>
      <w:b/>
      <w:bCs/>
    </w:rPr>
  </w:style>
  <w:style w:type="character" w:styleId="10">
    <w:name w:val="annotation reference"/>
    <w:basedOn w:val="9"/>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3">
    <w:name w:val="null3"/>
    <w:qFormat/>
    <w:uiPriority w:val="0"/>
    <w:rPr>
      <w:rFonts w:hint="eastAsia" w:asciiTheme="minorHAnsi" w:hAnsiTheme="minorHAnsi" w:eastAsiaTheme="minorEastAsia" w:cstheme="minorBidi"/>
      <w:lang w:val="en-US" w:eastAsia="zh-Hans" w:bidi="mn-Mong-CN"/>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6">
    <w:name w:val="null31"/>
    <w:qFormat/>
    <w:uiPriority w:val="0"/>
    <w:rPr>
      <w:rFonts w:hint="eastAsia" w:asciiTheme="minorHAnsi" w:hAnsiTheme="minorHAnsi" w:eastAsiaTheme="minorEastAsia" w:cstheme="minorBidi"/>
      <w:lang w:val="en-US" w:eastAsia="zh-Hans" w:bidi="mn-Mong-CN"/>
    </w:rPr>
  </w:style>
  <w:style w:type="character" w:customStyle="1" w:styleId="17">
    <w:name w:val="批注文字 Char"/>
    <w:basedOn w:val="9"/>
    <w:link w:val="3"/>
    <w:uiPriority w:val="0"/>
    <w:rPr>
      <w:kern w:val="2"/>
      <w:sz w:val="21"/>
      <w:szCs w:val="24"/>
      <w:lang w:bidi="ar-SA"/>
    </w:rPr>
  </w:style>
  <w:style w:type="character" w:customStyle="1" w:styleId="18">
    <w:name w:val="批注框文本 Char"/>
    <w:basedOn w:val="9"/>
    <w:link w:val="4"/>
    <w:qFormat/>
    <w:uiPriority w:val="0"/>
    <w:rPr>
      <w:kern w:val="2"/>
      <w:sz w:val="18"/>
      <w:szCs w:val="18"/>
      <w:lang w:bidi="ar-SA"/>
    </w:rPr>
  </w:style>
  <w:style w:type="character" w:customStyle="1" w:styleId="19">
    <w:name w:val="页眉 Char"/>
    <w:basedOn w:val="9"/>
    <w:link w:val="6"/>
    <w:qFormat/>
    <w:uiPriority w:val="0"/>
    <w:rPr>
      <w:kern w:val="2"/>
      <w:sz w:val="18"/>
      <w:szCs w:val="18"/>
      <w:lang w:bidi="ar-SA"/>
    </w:rPr>
  </w:style>
  <w:style w:type="character" w:customStyle="1" w:styleId="20">
    <w:name w:val="页脚 Char"/>
    <w:basedOn w:val="9"/>
    <w:link w:val="5"/>
    <w:uiPriority w:val="0"/>
    <w:rPr>
      <w:kern w:val="2"/>
      <w:sz w:val="18"/>
      <w:szCs w:val="18"/>
      <w:lang w:bidi="ar-SA"/>
    </w:rPr>
  </w:style>
  <w:style w:type="character" w:customStyle="1" w:styleId="21">
    <w:name w:val="批注主题 Char"/>
    <w:basedOn w:val="17"/>
    <w:link w:val="7"/>
    <w:qFormat/>
    <w:uiPriority w:val="0"/>
    <w:rPr>
      <w:b/>
      <w:bCs/>
      <w:kern w:val="2"/>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164</Words>
  <Characters>936</Characters>
  <Lines>7</Lines>
  <Paragraphs>2</Paragraphs>
  <TotalTime>177</TotalTime>
  <ScaleCrop>false</ScaleCrop>
  <LinksUpToDate>false</LinksUpToDate>
  <CharactersWithSpaces>1098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Administrator</cp:lastModifiedBy>
  <cp:lastPrinted>2024-06-03T06:45:00Z</cp:lastPrinted>
  <dcterms:modified xsi:type="dcterms:W3CDTF">2024-09-02T01:17:14Z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A76B8502DBE64AE699BD6BD526EA0B74_12</vt:lpwstr>
  </property>
</Properties>
</file>