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成都市龙泉驿区中医医院水处理再生盐制品配送项目</w:t>
      </w:r>
      <w:r>
        <w:rPr>
          <w:rFonts w:hint="eastAsia" w:ascii="Times New Roman" w:hAnsi="Times New Roman" w:eastAsia="方正小标宋_GBK" w:cs="Times New Roman"/>
          <w:sz w:val="44"/>
          <w:szCs w:val="44"/>
        </w:rPr>
        <w:t>（第二次）</w:t>
      </w:r>
      <w:r>
        <w:rPr>
          <w:rFonts w:ascii="Times New Roman" w:hAnsi="Times New Roman" w:eastAsia="方正小标宋_GBK" w:cs="Times New Roman"/>
          <w:sz w:val="44"/>
          <w:szCs w:val="44"/>
        </w:rPr>
        <w:t>比选文件</w:t>
      </w:r>
    </w:p>
    <w:p>
      <w:pPr>
        <w:spacing w:line="360" w:lineRule="auto"/>
        <w:rPr>
          <w:rFonts w:ascii="Times New Roman" w:hAnsi="Times New Roman" w:cs="Times New Roman"/>
          <w:b/>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第一章 比选要求</w:t>
      </w:r>
    </w:p>
    <w:p>
      <w:pPr>
        <w:spacing w:line="360" w:lineRule="auto"/>
        <w:rPr>
          <w:rFonts w:ascii="Times New Roman" w:hAnsi="Times New Roman" w:eastAsia="方正黑体_GBK" w:cs="Times New Roman"/>
          <w:sz w:val="28"/>
          <w:szCs w:val="28"/>
        </w:rPr>
      </w:pPr>
      <w:r>
        <w:rPr>
          <w:rFonts w:ascii="Times New Roman" w:hAnsi="Times New Roman" w:eastAsia="方正黑体_GBK" w:cs="Times New Roman"/>
          <w:sz w:val="28"/>
          <w:szCs w:val="28"/>
        </w:rPr>
        <w:t>一、项目概况</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1、采购人成都市龙泉驿区中医医院通过比选方式确定服务商一名。</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2、本项目服务期限：三年，合同一年一签。</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3、本项目服务费用最高限额：单价最高限额2500元/吨，总预算人民币8万元/年。</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二、比选报名</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（一）供应商报名条件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1．符合《中华人民共和国政府采购法》第二十二条之规定，具体如下：</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1.1 具有独立承担民事责任的能力；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1.2 具有良好的商业信誉和健全的财务会计制度；</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1.3 具有履行合同所必需的设备和专业技术能力；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1.4 有依法缴纳税收和社会保障资金的良好记录；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1.5 参加政府采购活动前三年内，在经营活动中没有重大违法记录；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1.6 法律、行政法规规定的其他条件。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2．本项目不接受联合体参加比选。</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3．本项目特定要求：无</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（二）报名要求：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按时间要求提交响应文件视为报名。</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三、比选文件领取方式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文件递交时间：2024年5月</w:t>
      </w: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4</w:t>
      </w:r>
      <w:bookmarkStart w:id="0" w:name="_GoBack"/>
      <w:bookmarkEnd w:id="0"/>
      <w:r>
        <w:rPr>
          <w:rFonts w:ascii="Times New Roman" w:hAnsi="Times New Roman" w:eastAsia="方正仿宋_GBK" w:cs="Times New Roman"/>
          <w:sz w:val="28"/>
          <w:szCs w:val="28"/>
        </w:rPr>
        <w:t>日14:00-14:30</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pPr>
        <w:spacing w:line="360" w:lineRule="auto"/>
        <w:ind w:left="1984" w:leftChars="945"/>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成都市龙泉驿区中医医院门诊5楼采购科</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五、比选时间、地点及方式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比选时间：2024年5月</w:t>
      </w: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日下午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比选方式：综合评分法</w:t>
      </w:r>
    </w:p>
    <w:p>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第二章 供应商服务内容和要求</w:t>
      </w:r>
    </w:p>
    <w:p>
      <w:pPr>
        <w:spacing w:line="360" w:lineRule="auto"/>
        <w:rPr>
          <w:rFonts w:ascii="Times New Roman" w:hAnsi="Times New Roman" w:eastAsia="方正黑体_GBK" w:cs="Times New Roman"/>
          <w:bCs/>
          <w:sz w:val="28"/>
          <w:szCs w:val="28"/>
        </w:rPr>
      </w:pPr>
      <w:r>
        <w:rPr>
          <w:rFonts w:hint="eastAsia" w:ascii="宋体" w:hAnsi="宋体" w:eastAsia="宋体" w:cs="宋体"/>
          <w:bCs/>
          <w:sz w:val="28"/>
          <w:szCs w:val="28"/>
        </w:rPr>
        <w:t>★</w:t>
      </w:r>
      <w:r>
        <w:rPr>
          <w:rFonts w:ascii="Times New Roman" w:hAnsi="Times New Roman" w:eastAsia="方正黑体_GBK" w:cs="Times New Roman"/>
          <w:bCs/>
          <w:sz w:val="28"/>
          <w:szCs w:val="28"/>
        </w:rPr>
        <w:t>一、服务内容及要求</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1、交付时间：接到采购人订货通知后 8 小时送货到采购人指定地点。</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2、货物质保期不低于半年。</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3、质保期内若发现货物不合格或临近过期，供应商于 24 小时内进行更换。如有三次发现货物不合格，采购人有权解除合同。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4、供应商所提供的货物价格是包干价，包括货物价格、运费、税费、售后服务费等一切与本项目相关的费用。</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5、若第一次出现到货验收不合格的情况，供应商须无条件退货并于24 小时内更换；若第二次出现到货验收不合格的情况，采购人有权拒绝支付该批次货款，若第三次出现到货验收不合格的情况，采购人有权解除合同。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6、核对货物的商品有厂名，厂址，合格证，到货验收不合格，供应商于 24 小时内免费更换。如有三次发现送货不合格，采购人有权解除合同。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7、供应商在服务实施过程中的安全责任由供应商负全责，采购人不承担任何安全责任，也不承担如发生安全事故产生的任何责任。</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8、验收标准和方法:</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（1）随车出具货品出厂合格证和检验报告，并接受采购人抽检。</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验收标准：按国家有关规定以及比选文件的质量要求和技术指标、供应商的比选申请文件及承诺与本合同约定标准进行验收；双方如对质量要求和技术指标的约定标准有相互抵触或异议的事项，由采购人在比选文件与比选申请文件中按质量要求和技术指标比较优胜的原则确定该项的约定标准进行验收。</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二、技术要求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供应商提供的水处理再生盐制品须符合国家（行业）标准，且满足以下要求：氯化钠浓度≥99.1%，纯白无杂质，片剂，到货合格率100%。</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三、商务要求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1、服务内容：为医院提供水处理再生盐制品</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2、服务期限：三年，合同一年一签。</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付款方式：按月据实结算（根据当季度实际供货数量×中选供应商中选单价进行据实结算，结算总价不得超过本项目采购总预算，超出总预算自动终止本次采购合同），每月结束后，经采购人与中选供应商确认实际供货量，中选供应商向采购人提供增值税发票和其他结算资料，采购人收到发票和其他结算资料后20个工作日内采用对公转账方式支付该月费用。</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4、交货地点：采购人指定地点。</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5、报价要求：本项目单价限价2500元/吨，供应商按单价进行报价，所报价格不能超过单价限价，否则将视为无效应答。</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6、验收要求：成交供应商与采购人应严格按照《财政部关于进一步加强政府采购需求和履约验收管理的指导意见》（财库〔2016〕205 号）及双方合同约定的要求进行验收。</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6.1服务在验收时填写验收记录文件，记录文件应当由采购人、中选供应商双方签字认可。</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6.2提供服务与比选要求不符或不能满足采购人需求的，采购人有权拒绝接收并要求供应商进行补足。</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注：1、带“</w:t>
      </w:r>
      <w:r>
        <w:rPr>
          <w:rFonts w:hint="eastAsia" w:ascii="宋体" w:hAnsi="宋体" w:eastAsia="宋体" w:cs="宋体"/>
          <w:sz w:val="28"/>
          <w:szCs w:val="28"/>
        </w:rPr>
        <w:t>★</w:t>
      </w:r>
      <w:r>
        <w:rPr>
          <w:rFonts w:ascii="Times New Roman" w:hAnsi="Times New Roman" w:eastAsia="方正仿宋_GBK" w:cs="Times New Roman"/>
          <w:sz w:val="28"/>
          <w:szCs w:val="28"/>
        </w:rPr>
        <w:t>”要求为实质性要求。</w:t>
      </w:r>
    </w:p>
    <w:p>
      <w:pPr>
        <w:spacing w:line="360" w:lineRule="auto"/>
        <w:rPr>
          <w:rFonts w:ascii="Times New Roman" w:hAnsi="Times New Roman" w:cs="Times New Roman"/>
          <w:bCs/>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第三章  比选程序及评分标准</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在满足实质性要求的情况下按综合得分由高到低排序。由评比选委员会确定排序第一的为成交供应商。排名第一的成交供应商放弃成交的，确定排名第二的为成交供应商，依次类推。</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三、评分细则</w:t>
      </w:r>
    </w:p>
    <w:tbl>
      <w:tblPr>
        <w:tblStyle w:val="8"/>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815"/>
        <w:gridCol w:w="4571"/>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序号</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评分因素</w:t>
            </w:r>
          </w:p>
          <w:p>
            <w:pPr>
              <w:pStyle w:val="18"/>
              <w:spacing w:line="400" w:lineRule="exact"/>
              <w:rPr>
                <w:rFonts w:ascii="Times New Roman" w:eastAsia="仿宋" w:cs="Times New Roman"/>
                <w:sz w:val="24"/>
                <w:szCs w:val="24"/>
              </w:rPr>
            </w:pPr>
            <w:r>
              <w:rPr>
                <w:rFonts w:ascii="Times New Roman" w:eastAsia="仿宋" w:cs="Times New Roman"/>
                <w:sz w:val="24"/>
                <w:szCs w:val="24"/>
              </w:rPr>
              <w:t>及权重</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分　值</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评分标准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备注</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报价30%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满足比选文件要求且单价报价最低的报价为基准价，其价格分为满分。其他供应商的价格分统一按照下列公式计算：报价得分=(基准价／单价报价)* 30%*100</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项 目 整 体 实 施 方案 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根据供应商针对本项目的实施方案包括</w:t>
            </w:r>
            <w:r>
              <w:rPr>
                <w:rFonts w:hint="eastAsia" w:hAnsi="宋体"/>
                <w:sz w:val="24"/>
                <w:szCs w:val="24"/>
              </w:rPr>
              <w:t>①</w:t>
            </w:r>
            <w:r>
              <w:rPr>
                <w:rFonts w:ascii="Times New Roman" w:eastAsia="仿宋" w:cs="Times New Roman"/>
                <w:sz w:val="24"/>
                <w:szCs w:val="24"/>
              </w:rPr>
              <w:t>生产质量保障措施</w:t>
            </w:r>
            <w:r>
              <w:rPr>
                <w:rFonts w:hint="eastAsia" w:hAnsi="宋体"/>
                <w:sz w:val="24"/>
                <w:szCs w:val="24"/>
              </w:rPr>
              <w:t>②</w:t>
            </w:r>
            <w:r>
              <w:rPr>
                <w:rFonts w:ascii="Times New Roman" w:eastAsia="仿宋" w:cs="Times New Roman"/>
                <w:sz w:val="24"/>
                <w:szCs w:val="24"/>
              </w:rPr>
              <w:t>产品检验检测措施</w:t>
            </w:r>
            <w:r>
              <w:rPr>
                <w:rFonts w:hint="eastAsia" w:hAnsi="宋体"/>
                <w:sz w:val="24"/>
                <w:szCs w:val="24"/>
              </w:rPr>
              <w:t>③</w:t>
            </w:r>
            <w:r>
              <w:rPr>
                <w:rFonts w:ascii="Times New Roman" w:eastAsia="仿宋" w:cs="Times New Roman"/>
                <w:sz w:val="24"/>
                <w:szCs w:val="24"/>
              </w:rPr>
              <w:t>库存管理措施</w:t>
            </w:r>
            <w:r>
              <w:rPr>
                <w:rFonts w:hint="eastAsia" w:hAnsi="宋体"/>
                <w:sz w:val="24"/>
                <w:szCs w:val="24"/>
              </w:rPr>
              <w:t>④</w:t>
            </w:r>
            <w:r>
              <w:rPr>
                <w:rFonts w:ascii="Times New Roman" w:eastAsia="仿宋" w:cs="Times New Roman"/>
                <w:sz w:val="24"/>
                <w:szCs w:val="24"/>
              </w:rPr>
              <w:t>运输管理措施</w:t>
            </w:r>
            <w:r>
              <w:rPr>
                <w:rFonts w:hint="eastAsia" w:hAnsi="宋体"/>
                <w:sz w:val="24"/>
                <w:szCs w:val="24"/>
              </w:rPr>
              <w:t>⑤</w:t>
            </w:r>
            <w:r>
              <w:rPr>
                <w:rFonts w:ascii="Times New Roman" w:eastAsia="仿宋" w:cs="Times New Roman"/>
                <w:sz w:val="24"/>
                <w:szCs w:val="24"/>
              </w:rPr>
              <w:t>供应保障应急预案(恶劣气候、自然灾害等不可抗因素条件下）等进行评审；方案内容完整且符合本项目采购需求的得 30 分，上述内容中每缺少一项扣6分，每有一项内容错误（不可实现的夸大情形或涉及的规范、标准与本项目要求不一致的情形或过于简略不具备科学性、针对性）的扣3分，扣完为止。</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售后服务 24%</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24分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根据供应商针对本项目提供的售后服务方案包括</w:t>
            </w:r>
            <w:r>
              <w:rPr>
                <w:rFonts w:hint="eastAsia" w:hAnsi="宋体"/>
                <w:sz w:val="24"/>
                <w:szCs w:val="24"/>
              </w:rPr>
              <w:t>①</w:t>
            </w:r>
            <w:r>
              <w:rPr>
                <w:rFonts w:ascii="Times New Roman" w:eastAsia="仿宋" w:cs="Times New Roman"/>
                <w:sz w:val="24"/>
                <w:szCs w:val="24"/>
              </w:rPr>
              <w:t>质量保证期限</w:t>
            </w:r>
            <w:r>
              <w:rPr>
                <w:rFonts w:hint="eastAsia" w:hAnsi="宋体"/>
                <w:sz w:val="24"/>
                <w:szCs w:val="24"/>
              </w:rPr>
              <w:t>②</w:t>
            </w:r>
            <w:r>
              <w:rPr>
                <w:rFonts w:ascii="Times New Roman" w:eastAsia="仿宋" w:cs="Times New Roman"/>
                <w:sz w:val="24"/>
                <w:szCs w:val="24"/>
              </w:rPr>
              <w:t>售后服务团队</w:t>
            </w:r>
            <w:r>
              <w:rPr>
                <w:rFonts w:hint="eastAsia" w:hAnsi="宋体"/>
                <w:sz w:val="24"/>
                <w:szCs w:val="24"/>
              </w:rPr>
              <w:t>③</w:t>
            </w:r>
            <w:r>
              <w:rPr>
                <w:rFonts w:ascii="Times New Roman" w:eastAsia="仿宋" w:cs="Times New Roman"/>
                <w:sz w:val="24"/>
                <w:szCs w:val="24"/>
              </w:rPr>
              <w:t xml:space="preserve">为采购人提供的服务及条款等进行评审；方案内容完整且符合本项目采购需求的得24分；上述内容中每缺少一项扣8分，每有一项内容错误（不可实现的夸大情形或涉及的规范、标准与本项目要求不一致的情形或过于简略不具备科学性、针对性）的扣4分，扣完为止。 </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4</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业绩16%</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16分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根据供应商提供的类似业绩（2020年1月1日至比选申请文件递交截止日）进行评审，提供一个得4分，本项最多得16分。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提供合同复印件或中标（成交）通知书复印件</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共同评分因素</w:t>
            </w:r>
          </w:p>
        </w:tc>
      </w:tr>
    </w:tbl>
    <w:p>
      <w:pPr>
        <w:spacing w:line="360" w:lineRule="auto"/>
        <w:rPr>
          <w:rFonts w:ascii="Times New Roman" w:hAnsi="Times New Roman" w:cs="Times New Roman"/>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第四章 响应文件要求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三、符合《政府采购法》第二十二条的证明材料及相关的承诺函；</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四、法定代表人授权委托书（法定代表人本人参加的，不提交）；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五、商务响应文件；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六、供应清单（包含生产厂家及规格型号）；</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供应商应保证所提交材料的合法性、真实性和有效性。响应文件需提交正本一份。</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22F5"/>
    <w:rsid w:val="0003433C"/>
    <w:rsid w:val="0004360F"/>
    <w:rsid w:val="000907CE"/>
    <w:rsid w:val="000A36F9"/>
    <w:rsid w:val="000A6E3B"/>
    <w:rsid w:val="000C638F"/>
    <w:rsid w:val="000D2DAF"/>
    <w:rsid w:val="000D5D5E"/>
    <w:rsid w:val="000F0D29"/>
    <w:rsid w:val="001170A1"/>
    <w:rsid w:val="001458B1"/>
    <w:rsid w:val="001776FD"/>
    <w:rsid w:val="001A297F"/>
    <w:rsid w:val="001A500C"/>
    <w:rsid w:val="001C4955"/>
    <w:rsid w:val="001D216B"/>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C1A11"/>
    <w:rsid w:val="003D2BA4"/>
    <w:rsid w:val="003D797D"/>
    <w:rsid w:val="004063C1"/>
    <w:rsid w:val="00417764"/>
    <w:rsid w:val="00427882"/>
    <w:rsid w:val="00430F90"/>
    <w:rsid w:val="00457D9E"/>
    <w:rsid w:val="004762E2"/>
    <w:rsid w:val="00492221"/>
    <w:rsid w:val="0049397A"/>
    <w:rsid w:val="004B71D0"/>
    <w:rsid w:val="004C78FB"/>
    <w:rsid w:val="004D28F9"/>
    <w:rsid w:val="004D52E0"/>
    <w:rsid w:val="004F11B1"/>
    <w:rsid w:val="004F698A"/>
    <w:rsid w:val="00501794"/>
    <w:rsid w:val="00513630"/>
    <w:rsid w:val="00547C64"/>
    <w:rsid w:val="005A6FFF"/>
    <w:rsid w:val="005A71B2"/>
    <w:rsid w:val="005E01F1"/>
    <w:rsid w:val="005F32F0"/>
    <w:rsid w:val="00600E7F"/>
    <w:rsid w:val="0061508B"/>
    <w:rsid w:val="00620715"/>
    <w:rsid w:val="00660A95"/>
    <w:rsid w:val="00663AB6"/>
    <w:rsid w:val="006655B6"/>
    <w:rsid w:val="00665A91"/>
    <w:rsid w:val="00677915"/>
    <w:rsid w:val="00694F28"/>
    <w:rsid w:val="006A0161"/>
    <w:rsid w:val="006A1887"/>
    <w:rsid w:val="006A561E"/>
    <w:rsid w:val="006C7691"/>
    <w:rsid w:val="006D2579"/>
    <w:rsid w:val="006D4CB3"/>
    <w:rsid w:val="006F3001"/>
    <w:rsid w:val="007215D6"/>
    <w:rsid w:val="00727D9A"/>
    <w:rsid w:val="00732C96"/>
    <w:rsid w:val="0075500B"/>
    <w:rsid w:val="007723F2"/>
    <w:rsid w:val="00774679"/>
    <w:rsid w:val="007932A4"/>
    <w:rsid w:val="007A33BA"/>
    <w:rsid w:val="007A4B5D"/>
    <w:rsid w:val="007B3732"/>
    <w:rsid w:val="007F03CB"/>
    <w:rsid w:val="007F3071"/>
    <w:rsid w:val="00806E12"/>
    <w:rsid w:val="008279FC"/>
    <w:rsid w:val="008309CE"/>
    <w:rsid w:val="008575F2"/>
    <w:rsid w:val="008615DC"/>
    <w:rsid w:val="00864F80"/>
    <w:rsid w:val="00875C5F"/>
    <w:rsid w:val="008A11D7"/>
    <w:rsid w:val="008A5470"/>
    <w:rsid w:val="008B4D2A"/>
    <w:rsid w:val="008B7BDA"/>
    <w:rsid w:val="008D6A78"/>
    <w:rsid w:val="008E2D8A"/>
    <w:rsid w:val="008E4F78"/>
    <w:rsid w:val="00921EB7"/>
    <w:rsid w:val="0093298E"/>
    <w:rsid w:val="00952266"/>
    <w:rsid w:val="00955B5F"/>
    <w:rsid w:val="00973005"/>
    <w:rsid w:val="009801A6"/>
    <w:rsid w:val="009D5121"/>
    <w:rsid w:val="00A02749"/>
    <w:rsid w:val="00A02DF0"/>
    <w:rsid w:val="00A20C82"/>
    <w:rsid w:val="00A4000E"/>
    <w:rsid w:val="00A6578A"/>
    <w:rsid w:val="00A82AE3"/>
    <w:rsid w:val="00A845F7"/>
    <w:rsid w:val="00A97EFB"/>
    <w:rsid w:val="00AB6E18"/>
    <w:rsid w:val="00AC1C37"/>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30933"/>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735B5"/>
    <w:rsid w:val="00D8150C"/>
    <w:rsid w:val="00D81745"/>
    <w:rsid w:val="00D939A6"/>
    <w:rsid w:val="00DA3ADB"/>
    <w:rsid w:val="00DB0860"/>
    <w:rsid w:val="00DB6684"/>
    <w:rsid w:val="00DE533A"/>
    <w:rsid w:val="00DF7A23"/>
    <w:rsid w:val="00E10CFF"/>
    <w:rsid w:val="00E12B37"/>
    <w:rsid w:val="00E43005"/>
    <w:rsid w:val="00E51E87"/>
    <w:rsid w:val="00E62F30"/>
    <w:rsid w:val="00E81BC3"/>
    <w:rsid w:val="00E9516C"/>
    <w:rsid w:val="00EB6DF2"/>
    <w:rsid w:val="00EC730F"/>
    <w:rsid w:val="00ED091B"/>
    <w:rsid w:val="00ED7B88"/>
    <w:rsid w:val="00EE6D2A"/>
    <w:rsid w:val="00EF1601"/>
    <w:rsid w:val="00EF6B49"/>
    <w:rsid w:val="00EF77AE"/>
    <w:rsid w:val="00F155D6"/>
    <w:rsid w:val="00F255F3"/>
    <w:rsid w:val="00F51913"/>
    <w:rsid w:val="00F56E40"/>
    <w:rsid w:val="00F5758D"/>
    <w:rsid w:val="00F700F5"/>
    <w:rsid w:val="00F7292B"/>
    <w:rsid w:val="00F96186"/>
    <w:rsid w:val="00FA6BC3"/>
    <w:rsid w:val="00FC6043"/>
    <w:rsid w:val="16343312"/>
    <w:rsid w:val="172E2FF6"/>
    <w:rsid w:val="38885B58"/>
    <w:rsid w:val="3DF43271"/>
    <w:rsid w:val="4C730B96"/>
    <w:rsid w:val="5453228F"/>
    <w:rsid w:val="55785681"/>
    <w:rsid w:val="71233860"/>
    <w:rsid w:val="72602B5F"/>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4">
    <w:name w:val="Body Text Indent"/>
    <w:basedOn w:val="1"/>
    <w:link w:val="15"/>
    <w:qFormat/>
    <w:uiPriority w:val="0"/>
    <w:pPr>
      <w:ind w:firstLine="420" w:firstLineChars="200"/>
    </w:pPr>
    <w:rPr>
      <w:rFonts w:ascii="宋体" w:hAnsi="宋体" w:eastAsia="宋体" w:cs="Times New Roman"/>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font31"/>
    <w:basedOn w:val="9"/>
    <w:qFormat/>
    <w:uiPriority w:val="0"/>
    <w:rPr>
      <w:rFonts w:ascii="方正仿宋_GBK" w:hAnsi="方正仿宋_GBK" w:eastAsia="方正仿宋_GBK" w:cs="方正仿宋_GBK"/>
      <w:color w:val="000000"/>
      <w:sz w:val="24"/>
      <w:szCs w:val="24"/>
      <w:u w:val="none"/>
    </w:rPr>
  </w:style>
  <w:style w:type="character" w:customStyle="1" w:styleId="13">
    <w:name w:val="font21"/>
    <w:basedOn w:val="9"/>
    <w:qFormat/>
    <w:uiPriority w:val="0"/>
    <w:rPr>
      <w:rFonts w:hint="default" w:ascii="Times New Roman" w:hAnsi="Times New Roman" w:cs="Times New Roman"/>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正文文本缩进 Char"/>
    <w:basedOn w:val="9"/>
    <w:link w:val="4"/>
    <w:qFormat/>
    <w:uiPriority w:val="0"/>
    <w:rPr>
      <w:rFonts w:ascii="宋体" w:hAnsi="宋体"/>
      <w:kern w:val="2"/>
      <w:sz w:val="21"/>
      <w:lang w:bidi="ar-SA"/>
    </w:rPr>
  </w:style>
  <w:style w:type="character" w:customStyle="1" w:styleId="16">
    <w:name w:val="批注框文本 Char"/>
    <w:basedOn w:val="9"/>
    <w:link w:val="5"/>
    <w:semiHidden/>
    <w:qFormat/>
    <w:uiPriority w:val="99"/>
    <w:rPr>
      <w:rFonts w:asciiTheme="minorHAnsi" w:hAnsiTheme="minorHAnsi" w:eastAsiaTheme="minorEastAsia" w:cstheme="minorBidi"/>
      <w:kern w:val="2"/>
      <w:sz w:val="18"/>
      <w:szCs w:val="18"/>
      <w:lang w:bidi="ar-SA"/>
    </w:rPr>
  </w:style>
  <w:style w:type="character" w:customStyle="1" w:styleId="17">
    <w:name w:val="标题 2 Char"/>
    <w:basedOn w:val="9"/>
    <w:link w:val="2"/>
    <w:qFormat/>
    <w:uiPriority w:val="0"/>
    <w:rPr>
      <w:rFonts w:ascii="Arial" w:hAnsi="Arial" w:eastAsia="黑体"/>
      <w:b/>
      <w:bCs/>
      <w:kern w:val="2"/>
      <w:sz w:val="32"/>
      <w:szCs w:val="32"/>
      <w:lang w:bidi="ar-SA"/>
    </w:rPr>
  </w:style>
  <w:style w:type="paragraph" w:customStyle="1" w:styleId="18">
    <w:name w:val="样式 17 磅"/>
    <w:next w:val="3"/>
    <w:qFormat/>
    <w:uiPriority w:val="0"/>
    <w:pPr>
      <w:widowControl w:val="0"/>
      <w:jc w:val="both"/>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402</Words>
  <Characters>2296</Characters>
  <Lines>19</Lines>
  <Paragraphs>5</Paragraphs>
  <TotalTime>240</TotalTime>
  <ScaleCrop>false</ScaleCrop>
  <LinksUpToDate>false</LinksUpToDate>
  <CharactersWithSpaces>2693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卡戎</cp:lastModifiedBy>
  <cp:lastPrinted>2023-11-08T06:51:00Z</cp:lastPrinted>
  <dcterms:modified xsi:type="dcterms:W3CDTF">2024-05-21T01:09:16Z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97BC7A4378A14EB1929B3F9DE408EC90_12</vt:lpwstr>
  </property>
</Properties>
</file>