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7C" w:rsidRPr="005C6C9E" w:rsidRDefault="00150836">
      <w:pPr>
        <w:spacing w:line="360" w:lineRule="auto"/>
        <w:jc w:val="center"/>
        <w:rPr>
          <w:rFonts w:ascii="Times New Roman" w:eastAsia="黑体" w:hAnsi="Times New Roman" w:cs="Times New Roman"/>
          <w:b/>
          <w:bCs/>
          <w:sz w:val="44"/>
          <w:szCs w:val="44"/>
        </w:rPr>
      </w:pPr>
      <w:r w:rsidRPr="005C6C9E">
        <w:rPr>
          <w:rFonts w:ascii="Times New Roman" w:eastAsia="黑体" w:hAnsi="Times New Roman" w:cs="Times New Roman"/>
          <w:b/>
          <w:bCs/>
          <w:sz w:val="44"/>
          <w:szCs w:val="44"/>
        </w:rPr>
        <w:t>成都市龙泉驿区中医医院</w:t>
      </w:r>
    </w:p>
    <w:p w:rsidR="0029157C" w:rsidRPr="005C6C9E" w:rsidRDefault="00F33587">
      <w:pPr>
        <w:spacing w:line="360" w:lineRule="auto"/>
        <w:jc w:val="center"/>
        <w:rPr>
          <w:rFonts w:ascii="Times New Roman" w:eastAsia="黑体" w:hAnsi="Times New Roman" w:cs="Times New Roman"/>
          <w:b/>
          <w:sz w:val="44"/>
          <w:szCs w:val="44"/>
        </w:rPr>
      </w:pPr>
      <w:r>
        <w:rPr>
          <w:rFonts w:ascii="Times New Roman" w:eastAsia="黑体" w:hAnsi="Times New Roman" w:cs="Times New Roman" w:hint="eastAsia"/>
          <w:b/>
          <w:sz w:val="44"/>
          <w:szCs w:val="44"/>
        </w:rPr>
        <w:t>机房搬迁服务采购项目</w:t>
      </w:r>
      <w:r w:rsidR="00150836" w:rsidRPr="005C6C9E">
        <w:rPr>
          <w:rFonts w:ascii="Times New Roman" w:eastAsia="黑体" w:hAnsi="Times New Roman" w:cs="Times New Roman"/>
          <w:b/>
          <w:sz w:val="44"/>
          <w:szCs w:val="44"/>
        </w:rPr>
        <w:t>比选文件</w:t>
      </w:r>
    </w:p>
    <w:p w:rsidR="0029157C" w:rsidRPr="005C6C9E" w:rsidRDefault="0029157C">
      <w:pPr>
        <w:spacing w:line="360" w:lineRule="auto"/>
        <w:rPr>
          <w:rFonts w:ascii="Times New Roman" w:hAnsi="Times New Roman" w:cs="Times New Roman"/>
          <w:b/>
          <w:sz w:val="28"/>
          <w:szCs w:val="28"/>
        </w:rPr>
      </w:pP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t>第一章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比选要求</w:t>
      </w:r>
    </w:p>
    <w:p w:rsidR="0029157C" w:rsidRPr="005C6C9E" w:rsidRDefault="00150836">
      <w:pPr>
        <w:spacing w:line="360" w:lineRule="auto"/>
        <w:rPr>
          <w:rFonts w:ascii="Times New Roman" w:hAnsi="Times New Roman" w:cs="Times New Roman"/>
          <w:b/>
          <w:bCs/>
          <w:sz w:val="28"/>
          <w:szCs w:val="28"/>
        </w:rPr>
      </w:pPr>
      <w:r w:rsidRPr="005C6C9E">
        <w:rPr>
          <w:rFonts w:ascii="Times New Roman" w:hAnsi="Times New Roman" w:cs="Times New Roman"/>
          <w:b/>
          <w:bCs/>
          <w:sz w:val="28"/>
          <w:szCs w:val="28"/>
        </w:rPr>
        <w:t>一、项目概况</w:t>
      </w:r>
    </w:p>
    <w:p w:rsidR="0029157C" w:rsidRPr="005C6C9E" w:rsidRDefault="00771829">
      <w:pPr>
        <w:spacing w:line="360" w:lineRule="auto"/>
        <w:rPr>
          <w:rFonts w:ascii="Times New Roman" w:hAnsi="Times New Roman" w:cs="Times New Roman"/>
          <w:sz w:val="28"/>
          <w:szCs w:val="28"/>
        </w:rPr>
      </w:pPr>
      <w:r>
        <w:rPr>
          <w:rFonts w:ascii="Times New Roman" w:hAnsi="Times New Roman" w:cs="Times New Roman" w:hint="eastAsia"/>
          <w:sz w:val="28"/>
          <w:szCs w:val="28"/>
        </w:rPr>
        <w:t>（一）</w:t>
      </w:r>
      <w:r w:rsidR="00F33587" w:rsidRPr="00F33587">
        <w:rPr>
          <w:rFonts w:ascii="Times New Roman" w:hAnsi="Times New Roman" w:cs="Times New Roman" w:hint="eastAsia"/>
          <w:sz w:val="28"/>
          <w:szCs w:val="28"/>
        </w:rPr>
        <w:t>对原成都市龙泉驿区第二人民医院机房内设施设</w:t>
      </w:r>
      <w:r w:rsidR="00020E60">
        <w:rPr>
          <w:rFonts w:ascii="Times New Roman" w:hAnsi="Times New Roman" w:cs="Times New Roman" w:hint="eastAsia"/>
          <w:sz w:val="28"/>
          <w:szCs w:val="28"/>
        </w:rPr>
        <w:t>备搬迁至成都市龙泉驿区中医医院新院区（青台山院区）机房合并使用</w:t>
      </w:r>
      <w:r w:rsidR="00150836" w:rsidRPr="005C6C9E">
        <w:rPr>
          <w:rFonts w:ascii="Times New Roman" w:hAnsi="Times New Roman" w:cs="Times New Roman"/>
          <w:sz w:val="28"/>
          <w:szCs w:val="28"/>
        </w:rPr>
        <w:t>。</w:t>
      </w:r>
    </w:p>
    <w:p w:rsidR="0029157C" w:rsidRPr="005C6C9E" w:rsidRDefault="00771829">
      <w:pPr>
        <w:spacing w:line="360" w:lineRule="auto"/>
        <w:rPr>
          <w:rFonts w:ascii="Times New Roman" w:hAnsi="Times New Roman" w:cs="Times New Roman"/>
          <w:sz w:val="28"/>
          <w:szCs w:val="28"/>
        </w:rPr>
      </w:pPr>
      <w:r>
        <w:rPr>
          <w:rFonts w:ascii="Times New Roman" w:hAnsi="Times New Roman" w:cs="Times New Roman" w:hint="eastAsia"/>
          <w:sz w:val="28"/>
          <w:szCs w:val="28"/>
        </w:rPr>
        <w:t>（二）</w:t>
      </w:r>
      <w:r w:rsidR="00150836" w:rsidRPr="005C6C9E">
        <w:rPr>
          <w:rFonts w:ascii="Times New Roman" w:hAnsi="Times New Roman" w:cs="Times New Roman"/>
          <w:sz w:val="28"/>
          <w:szCs w:val="28"/>
        </w:rPr>
        <w:t>项目预算：</w:t>
      </w:r>
      <w:r w:rsidR="000A1646">
        <w:rPr>
          <w:rFonts w:ascii="Times New Roman" w:hAnsi="Times New Roman" w:cs="Times New Roman" w:hint="eastAsia"/>
          <w:sz w:val="28"/>
          <w:szCs w:val="28"/>
        </w:rPr>
        <w:t>6</w:t>
      </w:r>
      <w:r w:rsidR="00150836" w:rsidRPr="005C6C9E">
        <w:rPr>
          <w:rFonts w:ascii="Times New Roman" w:hAnsi="Times New Roman" w:cs="Times New Roman"/>
          <w:sz w:val="28"/>
          <w:szCs w:val="28"/>
        </w:rPr>
        <w:t>万元</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二、比选报名</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（一）供应商报名条件</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1</w:t>
      </w:r>
      <w:r w:rsidRPr="005C6C9E">
        <w:rPr>
          <w:rFonts w:ascii="Times New Roman" w:hAnsi="Times New Roman" w:cs="Times New Roman"/>
          <w:sz w:val="28"/>
          <w:szCs w:val="28"/>
        </w:rPr>
        <w:t>．符合《中华人民共和国政府采购法》第二十二条之规定，具体如下：</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1.1 </w:t>
      </w:r>
      <w:r w:rsidRPr="005C6C9E">
        <w:rPr>
          <w:rFonts w:ascii="Times New Roman" w:hAnsi="Times New Roman" w:cs="Times New Roman"/>
          <w:sz w:val="28"/>
          <w:szCs w:val="28"/>
        </w:rPr>
        <w:t>具有独立承担民事责任的能力；</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1.2 </w:t>
      </w:r>
      <w:r w:rsidRPr="005C6C9E">
        <w:rPr>
          <w:rFonts w:ascii="Times New Roman" w:hAnsi="Times New Roman" w:cs="Times New Roman"/>
          <w:sz w:val="28"/>
          <w:szCs w:val="28"/>
        </w:rPr>
        <w:t>具有良好的商业信誉和健全的财务会计制度；</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1.3 </w:t>
      </w:r>
      <w:r w:rsidRPr="005C6C9E">
        <w:rPr>
          <w:rFonts w:ascii="Times New Roman" w:hAnsi="Times New Roman" w:cs="Times New Roman"/>
          <w:sz w:val="28"/>
          <w:szCs w:val="28"/>
        </w:rPr>
        <w:t>具有履行合同所必需的设备和专业技术能力；</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1.4 </w:t>
      </w:r>
      <w:r w:rsidRPr="005C6C9E">
        <w:rPr>
          <w:rFonts w:ascii="Times New Roman" w:hAnsi="Times New Roman" w:cs="Times New Roman"/>
          <w:sz w:val="28"/>
          <w:szCs w:val="28"/>
        </w:rPr>
        <w:t>有依法缴纳税收和社会保障资金的良好记录；</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1.5 </w:t>
      </w:r>
      <w:r w:rsidRPr="005C6C9E">
        <w:rPr>
          <w:rFonts w:ascii="Times New Roman" w:hAnsi="Times New Roman" w:cs="Times New Roman"/>
          <w:sz w:val="28"/>
          <w:szCs w:val="28"/>
        </w:rPr>
        <w:t>参加政府采购活动前三年内，在经营活动中没有重大违法记录；</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1.6 </w:t>
      </w:r>
      <w:r w:rsidRPr="005C6C9E">
        <w:rPr>
          <w:rFonts w:ascii="Times New Roman" w:hAnsi="Times New Roman" w:cs="Times New Roman"/>
          <w:sz w:val="28"/>
          <w:szCs w:val="28"/>
        </w:rPr>
        <w:t>法律、行政法规规定的其他条件。</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2</w:t>
      </w:r>
      <w:r w:rsidRPr="005C6C9E">
        <w:rPr>
          <w:rFonts w:ascii="Times New Roman" w:hAnsi="Times New Roman" w:cs="Times New Roman"/>
          <w:sz w:val="28"/>
          <w:szCs w:val="28"/>
        </w:rPr>
        <w:t>．本项目不接受联合体参加比选。</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3</w:t>
      </w:r>
      <w:r w:rsidRPr="005C6C9E">
        <w:rPr>
          <w:rFonts w:ascii="Times New Roman" w:hAnsi="Times New Roman" w:cs="Times New Roman"/>
          <w:sz w:val="28"/>
          <w:szCs w:val="28"/>
        </w:rPr>
        <w:t>．本项目特定要求：</w:t>
      </w:r>
      <w:r w:rsidR="00D9559F">
        <w:rPr>
          <w:rFonts w:ascii="Times New Roman" w:hAnsi="Times New Roman" w:cs="Times New Roman" w:hint="eastAsia"/>
          <w:sz w:val="28"/>
          <w:szCs w:val="28"/>
        </w:rPr>
        <w:t>无</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b/>
          <w:sz w:val="28"/>
          <w:szCs w:val="28"/>
        </w:rPr>
        <w:t>（二）报名要求</w:t>
      </w:r>
      <w:r w:rsidRPr="005C6C9E">
        <w:rPr>
          <w:rFonts w:ascii="Times New Roman" w:hAnsi="Times New Roman" w:cs="Times New Roman"/>
          <w:sz w:val="28"/>
          <w:szCs w:val="28"/>
        </w:rPr>
        <w:t>：</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按</w:t>
      </w:r>
      <w:r w:rsidR="004978E6" w:rsidRPr="005C6C9E">
        <w:rPr>
          <w:rFonts w:ascii="Times New Roman" w:hAnsi="Times New Roman" w:cs="Times New Roman"/>
          <w:sz w:val="28"/>
          <w:szCs w:val="28"/>
        </w:rPr>
        <w:t>要求</w:t>
      </w:r>
      <w:r w:rsidRPr="005C6C9E">
        <w:rPr>
          <w:rFonts w:ascii="Times New Roman" w:hAnsi="Times New Roman" w:cs="Times New Roman"/>
          <w:sz w:val="28"/>
          <w:szCs w:val="28"/>
        </w:rPr>
        <w:t>时间提交响应文件视为报名。</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三、比选文件领取方式</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通过医院官网下载比选文件。</w:t>
      </w:r>
    </w:p>
    <w:p w:rsidR="0029157C" w:rsidRPr="005C6C9E" w:rsidRDefault="00150836">
      <w:pPr>
        <w:spacing w:line="360" w:lineRule="auto"/>
        <w:rPr>
          <w:rFonts w:ascii="Times New Roman" w:eastAsia="宋体" w:hAnsi="Times New Roman" w:cs="Times New Roman"/>
          <w:b/>
          <w:sz w:val="28"/>
          <w:szCs w:val="28"/>
        </w:rPr>
      </w:pPr>
      <w:r w:rsidRPr="005C6C9E">
        <w:rPr>
          <w:rFonts w:ascii="Times New Roman" w:eastAsia="宋体" w:hAnsi="Times New Roman" w:cs="Times New Roman"/>
          <w:b/>
          <w:sz w:val="28"/>
          <w:szCs w:val="28"/>
        </w:rPr>
        <w:t>四、响应文件接收时间和地点</w:t>
      </w:r>
    </w:p>
    <w:p w:rsidR="0029157C" w:rsidRPr="005C6C9E" w:rsidRDefault="00150836">
      <w:pPr>
        <w:spacing w:line="360" w:lineRule="auto"/>
        <w:rPr>
          <w:rFonts w:ascii="Times New Roman" w:eastAsia="宋体" w:hAnsi="Times New Roman" w:cs="Times New Roman"/>
          <w:sz w:val="28"/>
          <w:szCs w:val="28"/>
        </w:rPr>
      </w:pPr>
      <w:r w:rsidRPr="005C6C9E">
        <w:rPr>
          <w:rFonts w:ascii="Times New Roman" w:eastAsia="宋体" w:hAnsi="Times New Roman" w:cs="Times New Roman"/>
          <w:sz w:val="28"/>
          <w:szCs w:val="28"/>
        </w:rPr>
        <w:lastRenderedPageBreak/>
        <w:t>文件递交时间：</w:t>
      </w:r>
      <w:r w:rsidRPr="005C6C9E">
        <w:rPr>
          <w:rFonts w:ascii="Times New Roman" w:eastAsia="宋体" w:hAnsi="Times New Roman" w:cs="Times New Roman"/>
          <w:sz w:val="28"/>
          <w:szCs w:val="28"/>
        </w:rPr>
        <w:t>202</w:t>
      </w:r>
      <w:r w:rsidRPr="005C6C9E">
        <w:rPr>
          <w:rFonts w:ascii="Times New Roman" w:eastAsia="宋体" w:hAnsi="Times New Roman" w:cs="Times New Roman" w:hint="eastAsia"/>
          <w:sz w:val="28"/>
          <w:szCs w:val="28"/>
        </w:rPr>
        <w:t>4</w:t>
      </w:r>
      <w:r w:rsidRPr="005C6C9E">
        <w:rPr>
          <w:rFonts w:ascii="Times New Roman" w:eastAsia="宋体" w:hAnsi="Times New Roman" w:cs="Times New Roman"/>
          <w:sz w:val="28"/>
          <w:szCs w:val="28"/>
        </w:rPr>
        <w:t>年</w:t>
      </w:r>
      <w:r w:rsidR="00E57D95">
        <w:rPr>
          <w:rFonts w:ascii="Times New Roman" w:eastAsia="宋体" w:hAnsi="Times New Roman" w:cs="Times New Roman" w:hint="eastAsia"/>
          <w:sz w:val="28"/>
          <w:szCs w:val="28"/>
        </w:rPr>
        <w:t>2</w:t>
      </w:r>
      <w:r w:rsidRPr="005C6C9E">
        <w:rPr>
          <w:rFonts w:ascii="Times New Roman" w:eastAsia="宋体" w:hAnsi="Times New Roman" w:cs="Times New Roman"/>
          <w:sz w:val="28"/>
          <w:szCs w:val="28"/>
        </w:rPr>
        <w:t>月</w:t>
      </w:r>
      <w:r w:rsidR="00E57D95">
        <w:rPr>
          <w:rFonts w:ascii="Times New Roman" w:eastAsia="宋体" w:hAnsi="Times New Roman" w:cs="Times New Roman" w:hint="eastAsia"/>
          <w:sz w:val="28"/>
          <w:szCs w:val="28"/>
        </w:rPr>
        <w:t>2</w:t>
      </w:r>
      <w:r w:rsidR="00240874">
        <w:rPr>
          <w:rFonts w:ascii="Times New Roman" w:eastAsia="宋体" w:hAnsi="Times New Roman" w:cs="Times New Roman" w:hint="eastAsia"/>
          <w:sz w:val="28"/>
          <w:szCs w:val="28"/>
        </w:rPr>
        <w:t>8</w:t>
      </w:r>
      <w:r w:rsidRPr="005C6C9E">
        <w:rPr>
          <w:rFonts w:ascii="Times New Roman" w:eastAsia="宋体" w:hAnsi="Times New Roman" w:cs="Times New Roman"/>
          <w:sz w:val="28"/>
          <w:szCs w:val="28"/>
        </w:rPr>
        <w:t>日</w:t>
      </w:r>
      <w:r w:rsidR="00136D9A">
        <w:rPr>
          <w:rFonts w:ascii="Times New Roman" w:eastAsia="宋体" w:hAnsi="Times New Roman" w:cs="Times New Roman" w:hint="eastAsia"/>
          <w:sz w:val="28"/>
          <w:szCs w:val="28"/>
        </w:rPr>
        <w:t>14</w:t>
      </w:r>
      <w:r w:rsidRPr="005C6C9E">
        <w:rPr>
          <w:rFonts w:ascii="Times New Roman" w:eastAsia="宋体" w:hAnsi="Times New Roman" w:cs="Times New Roman"/>
          <w:sz w:val="28"/>
          <w:szCs w:val="28"/>
        </w:rPr>
        <w:t>:00-</w:t>
      </w:r>
      <w:r w:rsidR="00136D9A">
        <w:rPr>
          <w:rFonts w:ascii="Times New Roman" w:eastAsia="宋体" w:hAnsi="Times New Roman" w:cs="Times New Roman" w:hint="eastAsia"/>
          <w:sz w:val="28"/>
          <w:szCs w:val="28"/>
        </w:rPr>
        <w:t>14</w:t>
      </w:r>
      <w:r w:rsidRPr="005C6C9E">
        <w:rPr>
          <w:rFonts w:ascii="Times New Roman" w:eastAsia="宋体" w:hAnsi="Times New Roman" w:cs="Times New Roman"/>
          <w:sz w:val="28"/>
          <w:szCs w:val="28"/>
        </w:rPr>
        <w:t>:30</w:t>
      </w:r>
    </w:p>
    <w:p w:rsidR="0029157C" w:rsidRPr="005C6C9E" w:rsidRDefault="00150836">
      <w:pPr>
        <w:spacing w:line="360" w:lineRule="auto"/>
        <w:rPr>
          <w:rFonts w:ascii="Times New Roman" w:eastAsia="宋体" w:hAnsi="Times New Roman" w:cs="Times New Roman"/>
          <w:sz w:val="28"/>
          <w:szCs w:val="28"/>
        </w:rPr>
      </w:pPr>
      <w:r w:rsidRPr="005C6C9E">
        <w:rPr>
          <w:rFonts w:ascii="Times New Roman" w:eastAsia="宋体" w:hAnsi="Times New Roman" w:cs="Times New Roman"/>
          <w:sz w:val="28"/>
          <w:szCs w:val="28"/>
        </w:rPr>
        <w:t>文件接收地点：成都市龙泉驿区青台山路</w:t>
      </w:r>
      <w:r w:rsidRPr="005C6C9E">
        <w:rPr>
          <w:rFonts w:ascii="Times New Roman" w:eastAsia="宋体" w:hAnsi="Times New Roman" w:cs="Times New Roman"/>
          <w:sz w:val="28"/>
          <w:szCs w:val="28"/>
        </w:rPr>
        <w:t>222</w:t>
      </w:r>
      <w:r w:rsidRPr="005C6C9E">
        <w:rPr>
          <w:rFonts w:ascii="Times New Roman" w:eastAsia="宋体" w:hAnsi="Times New Roman" w:cs="Times New Roman"/>
          <w:sz w:val="28"/>
          <w:szCs w:val="28"/>
        </w:rPr>
        <w:t>号</w:t>
      </w:r>
    </w:p>
    <w:p w:rsidR="0029157C" w:rsidRPr="005C6C9E" w:rsidRDefault="00150836">
      <w:pPr>
        <w:spacing w:line="360" w:lineRule="auto"/>
        <w:ind w:leftChars="945" w:left="1984"/>
        <w:rPr>
          <w:rFonts w:ascii="Times New Roman" w:eastAsia="宋体" w:hAnsi="Times New Roman" w:cs="Times New Roman"/>
          <w:sz w:val="28"/>
          <w:szCs w:val="28"/>
        </w:rPr>
      </w:pPr>
      <w:r w:rsidRPr="005C6C9E">
        <w:rPr>
          <w:rFonts w:ascii="Times New Roman" w:eastAsia="宋体" w:hAnsi="Times New Roman" w:cs="Times New Roman"/>
          <w:sz w:val="28"/>
          <w:szCs w:val="28"/>
        </w:rPr>
        <w:t>成都市龙泉驿区中医医院门诊</w:t>
      </w:r>
      <w:r w:rsidRPr="005C6C9E">
        <w:rPr>
          <w:rFonts w:ascii="Times New Roman" w:eastAsia="宋体" w:hAnsi="Times New Roman" w:cs="Times New Roman"/>
          <w:sz w:val="28"/>
          <w:szCs w:val="28"/>
        </w:rPr>
        <w:t>5</w:t>
      </w:r>
      <w:r w:rsidRPr="005C6C9E">
        <w:rPr>
          <w:rFonts w:ascii="Times New Roman" w:eastAsia="宋体" w:hAnsi="Times New Roman" w:cs="Times New Roman"/>
          <w:sz w:val="28"/>
          <w:szCs w:val="28"/>
        </w:rPr>
        <w:t>楼采购科</w:t>
      </w:r>
    </w:p>
    <w:p w:rsidR="0029157C" w:rsidRPr="005C6C9E" w:rsidRDefault="00150836">
      <w:pPr>
        <w:spacing w:line="360" w:lineRule="auto"/>
        <w:rPr>
          <w:rFonts w:ascii="Times New Roman" w:eastAsia="宋体" w:hAnsi="Times New Roman" w:cs="Times New Roman"/>
          <w:sz w:val="28"/>
          <w:szCs w:val="28"/>
        </w:rPr>
      </w:pPr>
      <w:r w:rsidRPr="005C6C9E">
        <w:rPr>
          <w:rFonts w:ascii="Times New Roman" w:eastAsia="宋体" w:hAnsi="Times New Roman" w:cs="Times New Roman"/>
          <w:sz w:val="28"/>
          <w:szCs w:val="28"/>
        </w:rPr>
        <w:t>联系人：董老师</w:t>
      </w:r>
    </w:p>
    <w:p w:rsidR="0029157C" w:rsidRPr="005C6C9E" w:rsidRDefault="00150836">
      <w:pPr>
        <w:spacing w:line="360" w:lineRule="auto"/>
        <w:rPr>
          <w:rFonts w:ascii="Times New Roman" w:hAnsi="Times New Roman" w:cs="Times New Roman"/>
          <w:sz w:val="28"/>
          <w:szCs w:val="28"/>
        </w:rPr>
      </w:pPr>
      <w:r w:rsidRPr="005C6C9E">
        <w:rPr>
          <w:rFonts w:ascii="Times New Roman" w:eastAsia="宋体" w:hAnsi="Times New Roman" w:cs="Times New Roman"/>
          <w:sz w:val="28"/>
          <w:szCs w:val="28"/>
        </w:rPr>
        <w:t>联系方式：</w:t>
      </w:r>
      <w:r w:rsidRPr="005C6C9E">
        <w:rPr>
          <w:rFonts w:ascii="Times New Roman" w:eastAsia="宋体" w:hAnsi="Times New Roman" w:cs="Times New Roman"/>
          <w:sz w:val="28"/>
          <w:szCs w:val="28"/>
        </w:rPr>
        <w:t>028-60659207</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五、比选时间、地点及方式</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比选时间：</w:t>
      </w:r>
      <w:r w:rsidRPr="005C6C9E">
        <w:rPr>
          <w:rFonts w:ascii="Times New Roman" w:hAnsi="Times New Roman" w:cs="Times New Roman"/>
          <w:sz w:val="28"/>
          <w:szCs w:val="28"/>
        </w:rPr>
        <w:t>2023</w:t>
      </w:r>
      <w:r w:rsidRPr="005C6C9E">
        <w:rPr>
          <w:rFonts w:ascii="Times New Roman" w:hAnsi="Times New Roman" w:cs="Times New Roman"/>
          <w:sz w:val="28"/>
          <w:szCs w:val="28"/>
        </w:rPr>
        <w:t>年</w:t>
      </w:r>
      <w:r w:rsidR="00136D9A">
        <w:rPr>
          <w:rFonts w:ascii="Times New Roman" w:hAnsi="Times New Roman" w:cs="Times New Roman" w:hint="eastAsia"/>
          <w:sz w:val="28"/>
          <w:szCs w:val="28"/>
        </w:rPr>
        <w:t>2</w:t>
      </w:r>
      <w:r w:rsidRPr="005C6C9E">
        <w:rPr>
          <w:rFonts w:ascii="Times New Roman" w:hAnsi="Times New Roman" w:cs="Times New Roman"/>
          <w:sz w:val="28"/>
          <w:szCs w:val="28"/>
        </w:rPr>
        <w:t>月</w:t>
      </w:r>
      <w:r w:rsidR="00136D9A">
        <w:rPr>
          <w:rFonts w:ascii="Times New Roman" w:hAnsi="Times New Roman" w:cs="Times New Roman" w:hint="eastAsia"/>
          <w:sz w:val="28"/>
          <w:szCs w:val="28"/>
        </w:rPr>
        <w:t>2</w:t>
      </w:r>
      <w:r w:rsidR="00240874">
        <w:rPr>
          <w:rFonts w:ascii="Times New Roman" w:hAnsi="Times New Roman" w:cs="Times New Roman" w:hint="eastAsia"/>
          <w:sz w:val="28"/>
          <w:szCs w:val="28"/>
        </w:rPr>
        <w:t>8</w:t>
      </w:r>
      <w:r w:rsidRPr="005C6C9E">
        <w:rPr>
          <w:rFonts w:ascii="Times New Roman" w:hAnsi="Times New Roman" w:cs="Times New Roman"/>
          <w:sz w:val="28"/>
          <w:szCs w:val="28"/>
        </w:rPr>
        <w:t>日</w:t>
      </w:r>
      <w:r w:rsidR="00136D9A">
        <w:rPr>
          <w:rFonts w:ascii="Times New Roman" w:hAnsi="Times New Roman" w:cs="Times New Roman" w:hint="eastAsia"/>
          <w:sz w:val="28"/>
          <w:szCs w:val="28"/>
        </w:rPr>
        <w:t>下</w:t>
      </w:r>
      <w:r w:rsidRPr="005C6C9E">
        <w:rPr>
          <w:rFonts w:ascii="Times New Roman" w:hAnsi="Times New Roman" w:cs="Times New Roman"/>
          <w:sz w:val="28"/>
          <w:szCs w:val="28"/>
        </w:rPr>
        <w:t>午</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比选地点：成都市龙泉驿区中</w:t>
      </w:r>
      <w:bookmarkStart w:id="0" w:name="_GoBack"/>
      <w:bookmarkEnd w:id="0"/>
      <w:r w:rsidRPr="005C6C9E">
        <w:rPr>
          <w:rFonts w:ascii="Times New Roman" w:hAnsi="Times New Roman" w:cs="Times New Roman"/>
          <w:sz w:val="28"/>
          <w:szCs w:val="28"/>
        </w:rPr>
        <w:t>医医院会议室</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比选方式：</w:t>
      </w:r>
      <w:r w:rsidR="00DA5DB3">
        <w:rPr>
          <w:rFonts w:ascii="Times New Roman" w:hAnsi="Times New Roman" w:cs="Times New Roman" w:hint="eastAsia"/>
          <w:sz w:val="28"/>
          <w:szCs w:val="28"/>
        </w:rPr>
        <w:t>综合评分法</w:t>
      </w: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t>第二章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供应商服务内容和要求</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bCs/>
          <w:sz w:val="28"/>
          <w:szCs w:val="28"/>
        </w:rPr>
        <w:t>一、</w:t>
      </w:r>
      <w:r w:rsidRPr="005C6C9E">
        <w:rPr>
          <w:rFonts w:ascii="Times New Roman" w:hAnsi="Times New Roman" w:cs="Times New Roman" w:hint="eastAsia"/>
          <w:bCs/>
          <w:sz w:val="28"/>
          <w:szCs w:val="28"/>
        </w:rPr>
        <w:t>服务内容及要求</w:t>
      </w:r>
      <w:r w:rsidR="001F7B83">
        <w:rPr>
          <w:rFonts w:ascii="Times New Roman" w:hAnsi="Times New Roman" w:cs="Times New Roman" w:hint="eastAsia"/>
          <w:bCs/>
          <w:sz w:val="28"/>
          <w:szCs w:val="28"/>
        </w:rPr>
        <w:t>（实质性要求）</w:t>
      </w:r>
    </w:p>
    <w:p w:rsidR="0029157C" w:rsidRPr="005C6C9E" w:rsidRDefault="00150836">
      <w:pPr>
        <w:pStyle w:val="Default"/>
        <w:rPr>
          <w:sz w:val="28"/>
          <w:szCs w:val="28"/>
        </w:rPr>
      </w:pPr>
      <w:r w:rsidRPr="005C6C9E">
        <w:rPr>
          <w:rFonts w:ascii="Times New Roman" w:cs="Times New Roman" w:hint="eastAsia"/>
          <w:color w:val="auto"/>
          <w:sz w:val="28"/>
          <w:szCs w:val="28"/>
        </w:rPr>
        <w:t>（一）</w:t>
      </w:r>
      <w:r w:rsidR="006D775C">
        <w:rPr>
          <w:rFonts w:ascii="Times New Roman" w:cs="Times New Roman" w:hint="eastAsia"/>
          <w:color w:val="auto"/>
          <w:sz w:val="28"/>
          <w:szCs w:val="28"/>
        </w:rPr>
        <w:t>服务内容</w:t>
      </w:r>
      <w:r w:rsidRPr="005C6C9E">
        <w:rPr>
          <w:rFonts w:ascii="Times New Roman" w:cs="Times New Roman" w:hint="eastAsia"/>
          <w:color w:val="auto"/>
          <w:sz w:val="28"/>
          <w:szCs w:val="28"/>
        </w:rPr>
        <w:t>：</w:t>
      </w:r>
    </w:p>
    <w:p w:rsidR="006D775C" w:rsidRPr="006D775C" w:rsidRDefault="006D775C" w:rsidP="006D775C">
      <w:pPr>
        <w:spacing w:line="240" w:lineRule="atLeast"/>
        <w:rPr>
          <w:rFonts w:asciiTheme="minorEastAsia" w:hAnsiTheme="minorEastAsia" w:cs="Times New Roman"/>
          <w:sz w:val="28"/>
          <w:szCs w:val="28"/>
        </w:rPr>
      </w:pPr>
      <w:r>
        <w:rPr>
          <w:rFonts w:asciiTheme="minorEastAsia" w:hAnsiTheme="minorEastAsia" w:cs="Times New Roman" w:hint="eastAsia"/>
          <w:sz w:val="28"/>
          <w:szCs w:val="28"/>
        </w:rPr>
        <w:t>1、</w:t>
      </w:r>
      <w:r w:rsidRPr="006D775C">
        <w:rPr>
          <w:rFonts w:asciiTheme="minorEastAsia" w:hAnsiTheme="minorEastAsia" w:cs="Times New Roman" w:hint="eastAsia"/>
          <w:sz w:val="28"/>
          <w:szCs w:val="28"/>
        </w:rPr>
        <w:t>对原成都市龙泉驿区第二人民医院机房内设施设备搬迁至成都市龙泉驿区中医医院新院区（青台山院区）机房合并使用。</w:t>
      </w:r>
    </w:p>
    <w:p w:rsidR="006D775C" w:rsidRPr="006D775C" w:rsidRDefault="006D775C" w:rsidP="006D775C">
      <w:pPr>
        <w:spacing w:line="240" w:lineRule="atLeast"/>
        <w:rPr>
          <w:rFonts w:asciiTheme="minorEastAsia" w:hAnsiTheme="minorEastAsia" w:cs="Times New Roman"/>
          <w:sz w:val="28"/>
          <w:szCs w:val="28"/>
        </w:rPr>
      </w:pPr>
      <w:r>
        <w:rPr>
          <w:rFonts w:asciiTheme="minorEastAsia" w:hAnsiTheme="minorEastAsia" w:cs="Times New Roman" w:hint="eastAsia"/>
          <w:sz w:val="28"/>
          <w:szCs w:val="28"/>
        </w:rPr>
        <w:t>2、</w:t>
      </w:r>
      <w:r w:rsidRPr="006D775C">
        <w:rPr>
          <w:rFonts w:asciiTheme="minorEastAsia" w:hAnsiTheme="minorEastAsia" w:cs="Times New Roman" w:hint="eastAsia"/>
          <w:sz w:val="28"/>
          <w:szCs w:val="28"/>
        </w:rPr>
        <w:t xml:space="preserve">搬迁设备清单： </w:t>
      </w:r>
    </w:p>
    <w:tbl>
      <w:tblPr>
        <w:tblW w:w="4998" w:type="pct"/>
        <w:tblLook w:val="04A0" w:firstRow="1" w:lastRow="0" w:firstColumn="1" w:lastColumn="0" w:noHBand="0" w:noVBand="1"/>
      </w:tblPr>
      <w:tblGrid>
        <w:gridCol w:w="1553"/>
        <w:gridCol w:w="4693"/>
        <w:gridCol w:w="1569"/>
        <w:gridCol w:w="1751"/>
      </w:tblGrid>
      <w:tr w:rsidR="006D775C" w:rsidTr="00870BB1">
        <w:trPr>
          <w:trHeight w:val="413"/>
        </w:trPr>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序号</w:t>
            </w:r>
          </w:p>
        </w:tc>
        <w:tc>
          <w:tcPr>
            <w:tcW w:w="2453" w:type="pct"/>
            <w:tcBorders>
              <w:top w:val="single" w:sz="4" w:space="0" w:color="auto"/>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产品名称</w:t>
            </w:r>
          </w:p>
        </w:tc>
        <w:tc>
          <w:tcPr>
            <w:tcW w:w="820" w:type="pct"/>
            <w:tcBorders>
              <w:top w:val="single" w:sz="4" w:space="0" w:color="auto"/>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单位</w:t>
            </w:r>
          </w:p>
        </w:tc>
        <w:tc>
          <w:tcPr>
            <w:tcW w:w="915" w:type="pct"/>
            <w:tcBorders>
              <w:top w:val="single" w:sz="4" w:space="0" w:color="auto"/>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数量</w:t>
            </w:r>
          </w:p>
        </w:tc>
      </w:tr>
      <w:tr w:rsidR="006D775C" w:rsidTr="00870BB1">
        <w:trPr>
          <w:trHeight w:val="413"/>
        </w:trPr>
        <w:tc>
          <w:tcPr>
            <w:tcW w:w="811" w:type="pct"/>
            <w:tcBorders>
              <w:top w:val="nil"/>
              <w:left w:val="single" w:sz="4" w:space="0" w:color="auto"/>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1</w:t>
            </w:r>
          </w:p>
        </w:tc>
        <w:tc>
          <w:tcPr>
            <w:tcW w:w="2453"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超融合平台1套</w:t>
            </w:r>
          </w:p>
        </w:tc>
        <w:tc>
          <w:tcPr>
            <w:tcW w:w="820"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套</w:t>
            </w:r>
          </w:p>
        </w:tc>
        <w:tc>
          <w:tcPr>
            <w:tcW w:w="915"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1</w:t>
            </w:r>
          </w:p>
        </w:tc>
      </w:tr>
      <w:tr w:rsidR="006D775C" w:rsidTr="00870BB1">
        <w:trPr>
          <w:trHeight w:val="413"/>
        </w:trPr>
        <w:tc>
          <w:tcPr>
            <w:tcW w:w="811" w:type="pct"/>
            <w:tcBorders>
              <w:top w:val="nil"/>
              <w:left w:val="single" w:sz="4" w:space="0" w:color="auto"/>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2</w:t>
            </w:r>
          </w:p>
        </w:tc>
        <w:tc>
          <w:tcPr>
            <w:tcW w:w="2453"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内网核心交换机</w:t>
            </w:r>
          </w:p>
        </w:tc>
        <w:tc>
          <w:tcPr>
            <w:tcW w:w="820"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台</w:t>
            </w:r>
          </w:p>
        </w:tc>
        <w:tc>
          <w:tcPr>
            <w:tcW w:w="915"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2</w:t>
            </w:r>
          </w:p>
        </w:tc>
      </w:tr>
      <w:tr w:rsidR="006D775C" w:rsidTr="00870BB1">
        <w:trPr>
          <w:trHeight w:val="443"/>
        </w:trPr>
        <w:tc>
          <w:tcPr>
            <w:tcW w:w="811" w:type="pct"/>
            <w:tcBorders>
              <w:top w:val="nil"/>
              <w:left w:val="single" w:sz="4" w:space="0" w:color="auto"/>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3</w:t>
            </w:r>
          </w:p>
        </w:tc>
        <w:tc>
          <w:tcPr>
            <w:tcW w:w="2453"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外网核心交换机</w:t>
            </w:r>
          </w:p>
        </w:tc>
        <w:tc>
          <w:tcPr>
            <w:tcW w:w="820"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台</w:t>
            </w:r>
          </w:p>
        </w:tc>
        <w:tc>
          <w:tcPr>
            <w:tcW w:w="915"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1</w:t>
            </w:r>
          </w:p>
        </w:tc>
      </w:tr>
      <w:tr w:rsidR="006D775C" w:rsidTr="00870BB1">
        <w:trPr>
          <w:trHeight w:val="90"/>
        </w:trPr>
        <w:tc>
          <w:tcPr>
            <w:tcW w:w="811" w:type="pct"/>
            <w:tcBorders>
              <w:top w:val="nil"/>
              <w:left w:val="single" w:sz="4" w:space="0" w:color="auto"/>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4</w:t>
            </w:r>
          </w:p>
        </w:tc>
        <w:tc>
          <w:tcPr>
            <w:tcW w:w="2453"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内网实体服务器</w:t>
            </w:r>
          </w:p>
        </w:tc>
        <w:tc>
          <w:tcPr>
            <w:tcW w:w="820"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台</w:t>
            </w:r>
          </w:p>
        </w:tc>
        <w:tc>
          <w:tcPr>
            <w:tcW w:w="915"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11</w:t>
            </w:r>
          </w:p>
        </w:tc>
      </w:tr>
      <w:tr w:rsidR="006D775C" w:rsidTr="00870BB1">
        <w:trPr>
          <w:trHeight w:val="413"/>
        </w:trPr>
        <w:tc>
          <w:tcPr>
            <w:tcW w:w="811" w:type="pct"/>
            <w:tcBorders>
              <w:top w:val="nil"/>
              <w:left w:val="single" w:sz="4" w:space="0" w:color="auto"/>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5</w:t>
            </w:r>
          </w:p>
        </w:tc>
        <w:tc>
          <w:tcPr>
            <w:tcW w:w="2453"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外网实体服务器</w:t>
            </w:r>
          </w:p>
        </w:tc>
        <w:tc>
          <w:tcPr>
            <w:tcW w:w="820"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台</w:t>
            </w:r>
          </w:p>
        </w:tc>
        <w:tc>
          <w:tcPr>
            <w:tcW w:w="915"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2</w:t>
            </w:r>
          </w:p>
        </w:tc>
      </w:tr>
      <w:tr w:rsidR="006D775C" w:rsidTr="00870BB1">
        <w:trPr>
          <w:trHeight w:val="413"/>
        </w:trPr>
        <w:tc>
          <w:tcPr>
            <w:tcW w:w="811" w:type="pct"/>
            <w:tcBorders>
              <w:top w:val="nil"/>
              <w:left w:val="single" w:sz="4" w:space="0" w:color="auto"/>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6</w:t>
            </w:r>
          </w:p>
        </w:tc>
        <w:tc>
          <w:tcPr>
            <w:tcW w:w="2453"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外网安全设备</w:t>
            </w:r>
          </w:p>
        </w:tc>
        <w:tc>
          <w:tcPr>
            <w:tcW w:w="820"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台</w:t>
            </w:r>
          </w:p>
        </w:tc>
        <w:tc>
          <w:tcPr>
            <w:tcW w:w="915"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6</w:t>
            </w:r>
          </w:p>
        </w:tc>
      </w:tr>
      <w:tr w:rsidR="006D775C" w:rsidTr="00870BB1">
        <w:trPr>
          <w:trHeight w:val="413"/>
        </w:trPr>
        <w:tc>
          <w:tcPr>
            <w:tcW w:w="811" w:type="pct"/>
            <w:tcBorders>
              <w:top w:val="nil"/>
              <w:left w:val="single" w:sz="4" w:space="0" w:color="auto"/>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7</w:t>
            </w:r>
          </w:p>
        </w:tc>
        <w:tc>
          <w:tcPr>
            <w:tcW w:w="2453"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内网安全设备</w:t>
            </w:r>
          </w:p>
        </w:tc>
        <w:tc>
          <w:tcPr>
            <w:tcW w:w="820"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台</w:t>
            </w:r>
          </w:p>
        </w:tc>
        <w:tc>
          <w:tcPr>
            <w:tcW w:w="915"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11</w:t>
            </w:r>
          </w:p>
        </w:tc>
      </w:tr>
      <w:tr w:rsidR="006D775C" w:rsidTr="00870BB1">
        <w:trPr>
          <w:trHeight w:val="413"/>
        </w:trPr>
        <w:tc>
          <w:tcPr>
            <w:tcW w:w="811" w:type="pct"/>
            <w:tcBorders>
              <w:top w:val="nil"/>
              <w:left w:val="single" w:sz="4" w:space="0" w:color="auto"/>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8</w:t>
            </w:r>
          </w:p>
        </w:tc>
        <w:tc>
          <w:tcPr>
            <w:tcW w:w="2453"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汇聚交换机</w:t>
            </w:r>
          </w:p>
        </w:tc>
        <w:tc>
          <w:tcPr>
            <w:tcW w:w="820"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台</w:t>
            </w:r>
          </w:p>
        </w:tc>
        <w:tc>
          <w:tcPr>
            <w:tcW w:w="915" w:type="pct"/>
            <w:tcBorders>
              <w:top w:val="nil"/>
              <w:left w:val="nil"/>
              <w:bottom w:val="single" w:sz="4" w:space="0" w:color="auto"/>
              <w:right w:val="single" w:sz="4" w:space="0" w:color="auto"/>
            </w:tcBorders>
            <w:shd w:val="clear" w:color="auto" w:fill="auto"/>
            <w:vAlign w:val="center"/>
          </w:tcPr>
          <w:p w:rsidR="006D775C" w:rsidRDefault="006D775C" w:rsidP="00870BB1">
            <w:pPr>
              <w:jc w:val="center"/>
              <w:rPr>
                <w:rFonts w:ascii="宋体" w:eastAsia="宋体" w:hAnsi="宋体" w:cs="宋体"/>
              </w:rPr>
            </w:pPr>
            <w:r>
              <w:rPr>
                <w:rFonts w:ascii="宋体" w:eastAsia="宋体" w:hAnsi="宋体" w:cs="宋体" w:hint="eastAsia"/>
              </w:rPr>
              <w:t>9</w:t>
            </w:r>
          </w:p>
        </w:tc>
      </w:tr>
    </w:tbl>
    <w:p w:rsidR="0029157C" w:rsidRPr="005C6C9E" w:rsidRDefault="006D775C" w:rsidP="006D775C">
      <w:pPr>
        <w:spacing w:line="240" w:lineRule="atLeast"/>
        <w:rPr>
          <w:rFonts w:asciiTheme="minorEastAsia" w:hAnsiTheme="minorEastAsia" w:cs="Times New Roman"/>
          <w:sz w:val="28"/>
          <w:szCs w:val="28"/>
        </w:rPr>
      </w:pPr>
      <w:r w:rsidRPr="006D775C">
        <w:rPr>
          <w:rFonts w:asciiTheme="minorEastAsia" w:hAnsiTheme="minorEastAsia" w:cs="Times New Roman" w:hint="eastAsia"/>
          <w:sz w:val="28"/>
          <w:szCs w:val="28"/>
        </w:rPr>
        <w:t>备注：具体设备数量以机房实际数量为准、含若干线缆。</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（二）</w:t>
      </w:r>
      <w:r w:rsidR="00A75195">
        <w:rPr>
          <w:rFonts w:asciiTheme="minorEastAsia" w:hAnsiTheme="minorEastAsia" w:cs="Times New Roman" w:hint="eastAsia"/>
          <w:sz w:val="28"/>
          <w:szCs w:val="28"/>
        </w:rPr>
        <w:t>服务要求</w:t>
      </w:r>
    </w:p>
    <w:p w:rsidR="00A75195" w:rsidRPr="00A75195" w:rsidRDefault="00A75195" w:rsidP="00A75195">
      <w:pPr>
        <w:spacing w:line="240" w:lineRule="atLeast"/>
        <w:rPr>
          <w:rFonts w:asciiTheme="minorEastAsia" w:hAnsiTheme="minorEastAsia" w:cs="Times New Roman"/>
          <w:sz w:val="28"/>
          <w:szCs w:val="28"/>
        </w:rPr>
      </w:pPr>
      <w:r>
        <w:rPr>
          <w:rFonts w:asciiTheme="minorEastAsia" w:hAnsiTheme="minorEastAsia" w:cs="Times New Roman" w:hint="eastAsia"/>
          <w:sz w:val="28"/>
          <w:szCs w:val="28"/>
        </w:rPr>
        <w:t>1、</w:t>
      </w:r>
      <w:r w:rsidRPr="00A75195">
        <w:rPr>
          <w:rFonts w:asciiTheme="minorEastAsia" w:hAnsiTheme="minorEastAsia" w:cs="Times New Roman"/>
          <w:sz w:val="28"/>
          <w:szCs w:val="28"/>
        </w:rPr>
        <w:t>保障搬迁途中设备设施不被损坏。</w:t>
      </w:r>
    </w:p>
    <w:p w:rsidR="00A75195" w:rsidRPr="00A75195" w:rsidRDefault="00A75195" w:rsidP="00A75195">
      <w:pPr>
        <w:spacing w:line="240" w:lineRule="atLeast"/>
        <w:rPr>
          <w:rFonts w:asciiTheme="minorEastAsia" w:hAnsiTheme="minorEastAsia" w:cs="Times New Roman"/>
          <w:sz w:val="28"/>
          <w:szCs w:val="28"/>
        </w:rPr>
      </w:pPr>
      <w:r>
        <w:rPr>
          <w:rFonts w:asciiTheme="minorEastAsia" w:hAnsiTheme="minorEastAsia" w:cs="Times New Roman" w:hint="eastAsia"/>
          <w:sz w:val="28"/>
          <w:szCs w:val="28"/>
        </w:rPr>
        <w:lastRenderedPageBreak/>
        <w:t>2、</w:t>
      </w:r>
      <w:r w:rsidRPr="00A75195">
        <w:rPr>
          <w:rFonts w:asciiTheme="minorEastAsia" w:hAnsiTheme="minorEastAsia" w:cs="Times New Roman"/>
          <w:sz w:val="28"/>
          <w:szCs w:val="28"/>
        </w:rPr>
        <w:t>保障搬迁后业务系统能够稳定启动运行。</w:t>
      </w:r>
    </w:p>
    <w:p w:rsidR="00A75195" w:rsidRPr="00A75195" w:rsidRDefault="00A75195" w:rsidP="00A75195">
      <w:pPr>
        <w:spacing w:line="240" w:lineRule="atLeast"/>
        <w:rPr>
          <w:rFonts w:asciiTheme="minorEastAsia" w:hAnsiTheme="minorEastAsia" w:cs="Times New Roman"/>
          <w:sz w:val="28"/>
          <w:szCs w:val="28"/>
        </w:rPr>
      </w:pPr>
      <w:r w:rsidRPr="00A75195">
        <w:rPr>
          <w:rFonts w:asciiTheme="minorEastAsia" w:hAnsiTheme="minorEastAsia" w:cs="Times New Roman"/>
          <w:sz w:val="28"/>
          <w:szCs w:val="28"/>
        </w:rPr>
        <w:t>3、保障搬迁后数据不丢失。</w:t>
      </w:r>
    </w:p>
    <w:p w:rsidR="00A75195" w:rsidRPr="00A75195" w:rsidRDefault="00A75195" w:rsidP="00A75195">
      <w:pPr>
        <w:spacing w:line="240" w:lineRule="atLeast"/>
        <w:rPr>
          <w:rFonts w:asciiTheme="minorEastAsia" w:hAnsiTheme="minorEastAsia" w:cs="Times New Roman"/>
          <w:sz w:val="28"/>
          <w:szCs w:val="28"/>
        </w:rPr>
      </w:pPr>
      <w:r w:rsidRPr="00A75195">
        <w:rPr>
          <w:rFonts w:asciiTheme="minorEastAsia" w:hAnsiTheme="minorEastAsia" w:cs="Times New Roman"/>
          <w:sz w:val="28"/>
          <w:szCs w:val="28"/>
        </w:rPr>
        <w:t>4、保障搬迁后顺利接入新院区网络，在不影响新院区网络的前提下，合理规划接入区安全性。</w:t>
      </w:r>
    </w:p>
    <w:p w:rsidR="00A75195" w:rsidRPr="00A75195" w:rsidRDefault="00A75195" w:rsidP="00A75195">
      <w:pPr>
        <w:spacing w:line="240" w:lineRule="atLeast"/>
        <w:rPr>
          <w:rFonts w:asciiTheme="minorEastAsia" w:hAnsiTheme="minorEastAsia" w:cs="Times New Roman"/>
          <w:sz w:val="28"/>
          <w:szCs w:val="28"/>
        </w:rPr>
      </w:pPr>
      <w:r w:rsidRPr="00A75195">
        <w:rPr>
          <w:rFonts w:asciiTheme="minorEastAsia" w:hAnsiTheme="minorEastAsia" w:cs="Times New Roman"/>
          <w:sz w:val="28"/>
          <w:szCs w:val="28"/>
        </w:rPr>
        <w:t>5、保障业务顺利连通医保网和电子票据网。</w:t>
      </w:r>
    </w:p>
    <w:p w:rsidR="00A75195" w:rsidRPr="00A75195" w:rsidRDefault="00A75195" w:rsidP="00A75195">
      <w:pPr>
        <w:spacing w:line="240" w:lineRule="atLeast"/>
        <w:rPr>
          <w:rFonts w:asciiTheme="minorEastAsia" w:hAnsiTheme="minorEastAsia" w:cs="Times New Roman"/>
          <w:sz w:val="28"/>
          <w:szCs w:val="28"/>
        </w:rPr>
      </w:pPr>
      <w:r w:rsidRPr="00A75195">
        <w:rPr>
          <w:rFonts w:asciiTheme="minorEastAsia" w:hAnsiTheme="minorEastAsia" w:cs="Times New Roman"/>
          <w:sz w:val="28"/>
          <w:szCs w:val="28"/>
        </w:rPr>
        <w:t>6、提供搬迁后的备份数据及备份数据介质。</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bCs/>
          <w:sz w:val="28"/>
          <w:szCs w:val="28"/>
        </w:rPr>
        <w:t>二、商务及服务要求（实质性要求）</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1</w:t>
      </w:r>
      <w:r w:rsidRPr="005C6C9E">
        <w:rPr>
          <w:rFonts w:ascii="Times New Roman" w:hAnsi="Times New Roman" w:cs="Times New Roman" w:hint="eastAsia"/>
          <w:bCs/>
          <w:sz w:val="28"/>
          <w:szCs w:val="28"/>
        </w:rPr>
        <w:t>、服务期限：</w:t>
      </w:r>
      <w:r w:rsidR="00896998" w:rsidRPr="00896998">
        <w:rPr>
          <w:rFonts w:ascii="Times New Roman" w:hAnsi="Times New Roman" w:cs="Times New Roman" w:hint="eastAsia"/>
          <w:bCs/>
          <w:sz w:val="28"/>
          <w:szCs w:val="28"/>
        </w:rPr>
        <w:t>本项目实施周期为合同签订后</w:t>
      </w:r>
      <w:r w:rsidR="00896998" w:rsidRPr="00896998">
        <w:rPr>
          <w:rFonts w:ascii="Times New Roman" w:hAnsi="Times New Roman" w:cs="Times New Roman" w:hint="eastAsia"/>
          <w:bCs/>
          <w:sz w:val="28"/>
          <w:szCs w:val="28"/>
        </w:rPr>
        <w:t>30</w:t>
      </w:r>
      <w:r w:rsidR="00896998">
        <w:rPr>
          <w:rFonts w:ascii="Times New Roman" w:hAnsi="Times New Roman" w:cs="Times New Roman" w:hint="eastAsia"/>
          <w:bCs/>
          <w:sz w:val="28"/>
          <w:szCs w:val="28"/>
        </w:rPr>
        <w:t>个工作日内完成</w:t>
      </w:r>
      <w:r w:rsidRPr="005C6C9E">
        <w:rPr>
          <w:rFonts w:ascii="Times New Roman" w:hAnsi="Times New Roman" w:cs="Times New Roman" w:hint="eastAsia"/>
          <w:bCs/>
          <w:sz w:val="28"/>
          <w:szCs w:val="28"/>
        </w:rPr>
        <w:t>。</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2</w:t>
      </w:r>
      <w:r w:rsidRPr="005C6C9E">
        <w:rPr>
          <w:rFonts w:ascii="Times New Roman" w:hAnsi="Times New Roman" w:cs="Times New Roman" w:hint="eastAsia"/>
          <w:bCs/>
          <w:sz w:val="28"/>
          <w:szCs w:val="28"/>
        </w:rPr>
        <w:t>、付款方式：验收合格后，供应商向采购人开具等额的增值税发票，采购人在收到发票和其他结算资料后</w:t>
      </w:r>
      <w:r w:rsidR="005B4D42">
        <w:rPr>
          <w:rFonts w:ascii="Times New Roman" w:hAnsi="Times New Roman" w:cs="Times New Roman" w:hint="eastAsia"/>
          <w:bCs/>
          <w:sz w:val="28"/>
          <w:szCs w:val="28"/>
        </w:rPr>
        <w:t>一年</w:t>
      </w:r>
      <w:r w:rsidRPr="005C6C9E">
        <w:rPr>
          <w:rFonts w:ascii="Times New Roman" w:hAnsi="Times New Roman" w:cs="Times New Roman" w:hint="eastAsia"/>
          <w:bCs/>
          <w:sz w:val="28"/>
          <w:szCs w:val="28"/>
        </w:rPr>
        <w:t>内采用对公转账方式一次性支付合同费用。</w:t>
      </w:r>
    </w:p>
    <w:p w:rsidR="0029157C"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3</w:t>
      </w:r>
      <w:r w:rsidRPr="005C6C9E">
        <w:rPr>
          <w:rFonts w:ascii="Times New Roman" w:hAnsi="Times New Roman" w:cs="Times New Roman" w:hint="eastAsia"/>
          <w:bCs/>
          <w:sz w:val="28"/>
          <w:szCs w:val="28"/>
        </w:rPr>
        <w:t>、验收标准：</w:t>
      </w:r>
      <w:r w:rsidR="005436E8" w:rsidRPr="005436E8">
        <w:rPr>
          <w:rFonts w:ascii="Times New Roman" w:hAnsi="Times New Roman" w:cs="Times New Roman" w:hint="eastAsia"/>
          <w:bCs/>
          <w:sz w:val="28"/>
          <w:szCs w:val="28"/>
        </w:rPr>
        <w:t>搬迁完成后，设备设施完好无损，系统稳定运行，数据保存完整，业务连通设备设施。</w:t>
      </w:r>
    </w:p>
    <w:p w:rsidR="00DF7CCC" w:rsidRPr="005C6C9E" w:rsidRDefault="00DF7CCC">
      <w:pPr>
        <w:spacing w:line="360" w:lineRule="auto"/>
        <w:rPr>
          <w:rFonts w:ascii="Times New Roman" w:hAnsi="Times New Roman" w:cs="Times New Roman"/>
          <w:bCs/>
          <w:sz w:val="28"/>
          <w:szCs w:val="28"/>
        </w:rPr>
      </w:pPr>
      <w:r>
        <w:rPr>
          <w:rFonts w:ascii="Times New Roman" w:hAnsi="Times New Roman" w:cs="Times New Roman" w:hint="eastAsia"/>
          <w:bCs/>
          <w:sz w:val="28"/>
          <w:szCs w:val="28"/>
        </w:rPr>
        <w:t>4</w:t>
      </w:r>
      <w:r>
        <w:rPr>
          <w:rFonts w:ascii="Times New Roman" w:hAnsi="Times New Roman" w:cs="Times New Roman" w:hint="eastAsia"/>
          <w:bCs/>
          <w:sz w:val="28"/>
          <w:szCs w:val="28"/>
        </w:rPr>
        <w:t>、维保服务：</w:t>
      </w:r>
      <w:r w:rsidRPr="00DF7CCC">
        <w:rPr>
          <w:rFonts w:ascii="Times New Roman" w:hAnsi="Times New Roman" w:cs="Times New Roman" w:hint="eastAsia"/>
          <w:bCs/>
          <w:sz w:val="28"/>
          <w:szCs w:val="28"/>
        </w:rPr>
        <w:t>自验收合格之日起</w:t>
      </w:r>
      <w:r w:rsidRPr="00DF7CCC">
        <w:rPr>
          <w:rFonts w:ascii="Times New Roman" w:hAnsi="Times New Roman" w:cs="Times New Roman" w:hint="eastAsia"/>
          <w:bCs/>
          <w:sz w:val="28"/>
          <w:szCs w:val="28"/>
        </w:rPr>
        <w:t>90</w:t>
      </w:r>
      <w:r w:rsidRPr="00DF7CCC">
        <w:rPr>
          <w:rFonts w:ascii="Times New Roman" w:hAnsi="Times New Roman" w:cs="Times New Roman" w:hint="eastAsia"/>
          <w:bCs/>
          <w:sz w:val="28"/>
          <w:szCs w:val="28"/>
        </w:rPr>
        <w:t>天。</w:t>
      </w:r>
    </w:p>
    <w:p w:rsidR="0029157C" w:rsidRPr="005C6C9E" w:rsidRDefault="00DF7CCC">
      <w:pPr>
        <w:spacing w:line="360" w:lineRule="auto"/>
        <w:rPr>
          <w:rFonts w:ascii="Times New Roman" w:hAnsi="Times New Roman" w:cs="Times New Roman"/>
          <w:bCs/>
          <w:sz w:val="28"/>
          <w:szCs w:val="28"/>
        </w:rPr>
      </w:pPr>
      <w:r>
        <w:rPr>
          <w:rFonts w:ascii="Times New Roman" w:hAnsi="Times New Roman" w:cs="Times New Roman" w:hint="eastAsia"/>
          <w:bCs/>
          <w:sz w:val="28"/>
          <w:szCs w:val="28"/>
        </w:rPr>
        <w:t>5</w:t>
      </w:r>
      <w:r w:rsidR="00150836" w:rsidRPr="005C6C9E">
        <w:rPr>
          <w:rFonts w:ascii="Times New Roman" w:hAnsi="Times New Roman" w:cs="Times New Roman" w:hint="eastAsia"/>
          <w:bCs/>
          <w:sz w:val="28"/>
          <w:szCs w:val="28"/>
        </w:rPr>
        <w:t>、报价要求</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本项目报价不得超过项目</w:t>
      </w:r>
      <w:r w:rsidR="00424DEA">
        <w:rPr>
          <w:rFonts w:ascii="Times New Roman" w:hAnsi="Times New Roman" w:cs="Times New Roman" w:hint="eastAsia"/>
          <w:bCs/>
          <w:sz w:val="28"/>
          <w:szCs w:val="28"/>
        </w:rPr>
        <w:t>预算</w:t>
      </w:r>
      <w:r w:rsidRPr="005C6C9E">
        <w:rPr>
          <w:rFonts w:ascii="Times New Roman" w:hAnsi="Times New Roman" w:cs="Times New Roman" w:hint="eastAsia"/>
          <w:bCs/>
          <w:sz w:val="28"/>
          <w:szCs w:val="28"/>
        </w:rPr>
        <w:t>。</w:t>
      </w: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t>第三章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比选程序及</w:t>
      </w:r>
      <w:r w:rsidRPr="005C6C9E">
        <w:rPr>
          <w:rFonts w:ascii="Times New Roman" w:hAnsi="Times New Roman" w:cs="Times New Roman" w:hint="eastAsia"/>
          <w:b/>
          <w:sz w:val="28"/>
          <w:szCs w:val="28"/>
        </w:rPr>
        <w:t>评审</w:t>
      </w:r>
      <w:r w:rsidRPr="005C6C9E">
        <w:rPr>
          <w:rFonts w:ascii="Times New Roman" w:hAnsi="Times New Roman" w:cs="Times New Roman"/>
          <w:b/>
          <w:sz w:val="28"/>
          <w:szCs w:val="28"/>
        </w:rPr>
        <w:t>标准</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b/>
          <w:sz w:val="28"/>
          <w:szCs w:val="28"/>
        </w:rPr>
        <w:t>一、</w:t>
      </w:r>
      <w:r w:rsidRPr="005C6C9E">
        <w:rPr>
          <w:rFonts w:ascii="Times New Roman" w:hAnsi="Times New Roman" w:cs="Times New Roman"/>
          <w:sz w:val="28"/>
          <w:szCs w:val="28"/>
        </w:rPr>
        <w:t>由采购人自行组成比选委员会，负责查看供应商所申报的材料是否完善，是否按要求加盖单位印章。</w:t>
      </w:r>
    </w:p>
    <w:p w:rsidR="0029157C" w:rsidRDefault="00150836">
      <w:pPr>
        <w:spacing w:line="360" w:lineRule="auto"/>
        <w:rPr>
          <w:rFonts w:ascii="Times New Roman" w:hAnsi="Times New Roman" w:cs="Times New Roman"/>
          <w:sz w:val="28"/>
          <w:szCs w:val="28"/>
        </w:rPr>
      </w:pPr>
      <w:r w:rsidRPr="005C6C9E">
        <w:rPr>
          <w:rFonts w:ascii="Times New Roman" w:hAnsi="Times New Roman" w:cs="Times New Roman"/>
          <w:b/>
          <w:sz w:val="28"/>
          <w:szCs w:val="28"/>
        </w:rPr>
        <w:t>二</w:t>
      </w:r>
      <w:r w:rsidRPr="005C6C9E">
        <w:rPr>
          <w:rFonts w:ascii="Times New Roman" w:hAnsi="Times New Roman" w:cs="Times New Roman"/>
          <w:sz w:val="28"/>
          <w:szCs w:val="28"/>
        </w:rPr>
        <w:t>、评选委员会根据评审要求对供应商申报材料进行评审，按</w:t>
      </w:r>
      <w:r w:rsidR="008D4C3F">
        <w:rPr>
          <w:rFonts w:ascii="Times New Roman" w:hAnsi="Times New Roman" w:cs="Times New Roman" w:hint="eastAsia"/>
          <w:sz w:val="28"/>
          <w:szCs w:val="28"/>
        </w:rPr>
        <w:t>综合评分</w:t>
      </w:r>
      <w:r w:rsidRPr="005C6C9E">
        <w:rPr>
          <w:rFonts w:ascii="Times New Roman" w:hAnsi="Times New Roman" w:cs="Times New Roman"/>
          <w:sz w:val="28"/>
          <w:szCs w:val="28"/>
        </w:rPr>
        <w:t>由</w:t>
      </w:r>
      <w:r w:rsidR="008D4C3F">
        <w:rPr>
          <w:rFonts w:ascii="Times New Roman" w:hAnsi="Times New Roman" w:cs="Times New Roman" w:hint="eastAsia"/>
          <w:sz w:val="28"/>
          <w:szCs w:val="28"/>
        </w:rPr>
        <w:t>高</w:t>
      </w:r>
      <w:r w:rsidRPr="005C6C9E">
        <w:rPr>
          <w:rFonts w:ascii="Times New Roman" w:hAnsi="Times New Roman" w:cs="Times New Roman"/>
          <w:sz w:val="28"/>
          <w:szCs w:val="28"/>
        </w:rPr>
        <w:t>到</w:t>
      </w:r>
      <w:r w:rsidR="008D4C3F">
        <w:rPr>
          <w:rFonts w:ascii="Times New Roman" w:hAnsi="Times New Roman" w:cs="Times New Roman" w:hint="eastAsia"/>
          <w:sz w:val="28"/>
          <w:szCs w:val="28"/>
        </w:rPr>
        <w:t>低</w:t>
      </w:r>
      <w:r w:rsidRPr="005C6C9E">
        <w:rPr>
          <w:rFonts w:ascii="Times New Roman" w:hAnsi="Times New Roman" w:cs="Times New Roman"/>
          <w:sz w:val="28"/>
          <w:szCs w:val="28"/>
        </w:rPr>
        <w:t>排序。由评比选委员会确定排序第一的为成交供应商。排名第一的成交供应商放弃成交的，确定排名第二的为成交供应商，依次类推。</w:t>
      </w:r>
    </w:p>
    <w:p w:rsidR="00702DD8" w:rsidRDefault="00702DD8">
      <w:pPr>
        <w:spacing w:line="360" w:lineRule="auto"/>
        <w:rPr>
          <w:rFonts w:ascii="Times New Roman" w:hAnsi="Times New Roman" w:cs="Times New Roman"/>
          <w:sz w:val="28"/>
          <w:szCs w:val="28"/>
        </w:rPr>
      </w:pPr>
      <w:r>
        <w:rPr>
          <w:rFonts w:ascii="Times New Roman" w:hAnsi="Times New Roman" w:cs="Times New Roman" w:hint="eastAsia"/>
          <w:sz w:val="28"/>
          <w:szCs w:val="28"/>
        </w:rPr>
        <w:t>三、评分细则</w:t>
      </w:r>
    </w:p>
    <w:tbl>
      <w:tblPr>
        <w:tblpPr w:leftFromText="180" w:rightFromText="180" w:vertAnchor="text" w:horzAnchor="page" w:tblpX="1267" w:tblpY="943"/>
        <w:tblOverlap w:val="neve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306"/>
        <w:gridCol w:w="1185"/>
        <w:gridCol w:w="5161"/>
        <w:gridCol w:w="1723"/>
      </w:tblGrid>
      <w:tr w:rsidR="00561C6D" w:rsidTr="00870BB1">
        <w:trPr>
          <w:trHeight w:val="23"/>
        </w:trPr>
        <w:tc>
          <w:tcPr>
            <w:tcW w:w="662" w:type="dxa"/>
            <w:vAlign w:val="center"/>
          </w:tcPr>
          <w:p w:rsidR="00561C6D" w:rsidRDefault="00561C6D" w:rsidP="00870BB1">
            <w:pPr>
              <w:ind w:firstLine="28"/>
              <w:jc w:val="center"/>
              <w:rPr>
                <w:rFonts w:ascii="宋体" w:eastAsia="宋体" w:hAnsi="宋体" w:cs="宋体"/>
              </w:rPr>
            </w:pPr>
            <w:bookmarkStart w:id="1" w:name="_Toc17031"/>
            <w:r>
              <w:rPr>
                <w:rFonts w:ascii="宋体" w:eastAsia="宋体" w:hAnsi="宋体" w:cs="宋体" w:hint="eastAsia"/>
              </w:rPr>
              <w:lastRenderedPageBreak/>
              <w:t>序号</w:t>
            </w:r>
          </w:p>
        </w:tc>
        <w:tc>
          <w:tcPr>
            <w:tcW w:w="1306" w:type="dxa"/>
            <w:vAlign w:val="center"/>
          </w:tcPr>
          <w:p w:rsidR="00561C6D" w:rsidRDefault="00561C6D" w:rsidP="00870BB1">
            <w:pPr>
              <w:ind w:firstLine="28"/>
              <w:jc w:val="center"/>
              <w:rPr>
                <w:rFonts w:ascii="宋体" w:eastAsia="宋体" w:hAnsi="宋体" w:cs="宋体"/>
              </w:rPr>
            </w:pPr>
            <w:r>
              <w:rPr>
                <w:rFonts w:ascii="宋体" w:eastAsia="宋体" w:hAnsi="宋体" w:cs="宋体" w:hint="eastAsia"/>
              </w:rPr>
              <w:t>评分因素</w:t>
            </w:r>
          </w:p>
          <w:p w:rsidR="00561C6D" w:rsidRDefault="00561C6D" w:rsidP="00870BB1">
            <w:pPr>
              <w:ind w:firstLine="28"/>
              <w:jc w:val="center"/>
              <w:rPr>
                <w:rFonts w:ascii="宋体" w:eastAsia="宋体" w:hAnsi="宋体" w:cs="宋体"/>
              </w:rPr>
            </w:pPr>
            <w:r>
              <w:rPr>
                <w:rFonts w:ascii="宋体" w:eastAsia="宋体" w:hAnsi="宋体" w:cs="宋体" w:hint="eastAsia"/>
              </w:rPr>
              <w:t>及权重</w:t>
            </w:r>
          </w:p>
        </w:tc>
        <w:tc>
          <w:tcPr>
            <w:tcW w:w="1185" w:type="dxa"/>
            <w:vAlign w:val="center"/>
          </w:tcPr>
          <w:p w:rsidR="00561C6D" w:rsidRDefault="00561C6D" w:rsidP="00870BB1">
            <w:pPr>
              <w:ind w:firstLine="28"/>
              <w:jc w:val="center"/>
              <w:rPr>
                <w:rFonts w:ascii="宋体" w:eastAsia="宋体" w:hAnsi="宋体" w:cs="宋体"/>
              </w:rPr>
            </w:pPr>
            <w:r>
              <w:rPr>
                <w:rFonts w:ascii="宋体" w:eastAsia="宋体" w:hAnsi="宋体" w:cs="宋体" w:hint="eastAsia"/>
              </w:rPr>
              <w:t>分　值</w:t>
            </w:r>
          </w:p>
        </w:tc>
        <w:tc>
          <w:tcPr>
            <w:tcW w:w="5161" w:type="dxa"/>
            <w:vAlign w:val="center"/>
          </w:tcPr>
          <w:p w:rsidR="00561C6D" w:rsidRDefault="00561C6D" w:rsidP="00870BB1">
            <w:pPr>
              <w:ind w:firstLine="28"/>
              <w:jc w:val="center"/>
              <w:rPr>
                <w:rFonts w:ascii="宋体" w:eastAsia="宋体" w:hAnsi="宋体" w:cs="宋体"/>
              </w:rPr>
            </w:pPr>
            <w:r>
              <w:rPr>
                <w:rFonts w:ascii="宋体" w:eastAsia="宋体" w:hAnsi="宋体" w:cs="宋体" w:hint="eastAsia"/>
              </w:rPr>
              <w:t>评分标准</w:t>
            </w:r>
          </w:p>
        </w:tc>
        <w:tc>
          <w:tcPr>
            <w:tcW w:w="1723" w:type="dxa"/>
            <w:vAlign w:val="center"/>
          </w:tcPr>
          <w:p w:rsidR="00561C6D" w:rsidRDefault="00561C6D" w:rsidP="00870BB1">
            <w:pPr>
              <w:jc w:val="center"/>
              <w:rPr>
                <w:rFonts w:ascii="宋体" w:eastAsia="宋体" w:hAnsi="宋体" w:cs="宋体"/>
              </w:rPr>
            </w:pPr>
            <w:r>
              <w:rPr>
                <w:rFonts w:ascii="宋体" w:eastAsia="宋体" w:hAnsi="宋体" w:cs="宋体" w:hint="eastAsia"/>
              </w:rPr>
              <w:t>说明</w:t>
            </w:r>
          </w:p>
        </w:tc>
      </w:tr>
      <w:tr w:rsidR="00561C6D" w:rsidTr="00870BB1">
        <w:trPr>
          <w:trHeight w:val="552"/>
        </w:trPr>
        <w:tc>
          <w:tcPr>
            <w:tcW w:w="662" w:type="dxa"/>
            <w:vAlign w:val="center"/>
          </w:tcPr>
          <w:p w:rsidR="00561C6D" w:rsidRDefault="00561C6D" w:rsidP="00870BB1">
            <w:pPr>
              <w:spacing w:line="400" w:lineRule="exact"/>
              <w:ind w:firstLine="28"/>
              <w:jc w:val="center"/>
              <w:rPr>
                <w:rFonts w:ascii="宋体" w:eastAsia="宋体" w:hAnsi="宋体" w:cs="宋体"/>
              </w:rPr>
            </w:pPr>
            <w:r>
              <w:rPr>
                <w:rFonts w:ascii="宋体" w:eastAsia="宋体" w:hAnsi="宋体" w:cs="宋体" w:hint="eastAsia"/>
              </w:rPr>
              <w:t>1</w:t>
            </w:r>
          </w:p>
        </w:tc>
        <w:tc>
          <w:tcPr>
            <w:tcW w:w="1306" w:type="dxa"/>
            <w:vAlign w:val="center"/>
          </w:tcPr>
          <w:p w:rsidR="00561C6D" w:rsidRDefault="00561C6D" w:rsidP="00870BB1">
            <w:pPr>
              <w:rPr>
                <w:rFonts w:ascii="宋体" w:eastAsia="宋体" w:hAnsi="宋体" w:cs="宋体"/>
              </w:rPr>
            </w:pPr>
            <w:r>
              <w:rPr>
                <w:rFonts w:ascii="宋体" w:eastAsia="宋体" w:hAnsi="宋体" w:cs="宋体" w:hint="eastAsia"/>
              </w:rPr>
              <w:t>报价</w:t>
            </w:r>
            <w:r>
              <w:rPr>
                <w:rFonts w:ascii="宋体" w:eastAsia="宋体" w:hAnsi="宋体" w:cs="宋体"/>
              </w:rPr>
              <w:t>30</w:t>
            </w:r>
            <w:r>
              <w:rPr>
                <w:rFonts w:ascii="宋体" w:eastAsia="宋体" w:hAnsi="宋体" w:cs="宋体" w:hint="eastAsia"/>
              </w:rPr>
              <w:t>%</w:t>
            </w:r>
          </w:p>
          <w:p w:rsidR="00561C6D" w:rsidRDefault="00561C6D" w:rsidP="00870BB1">
            <w:pPr>
              <w:rPr>
                <w:rFonts w:ascii="宋体" w:eastAsia="宋体" w:hAnsi="宋体" w:cs="宋体"/>
              </w:rPr>
            </w:pPr>
          </w:p>
        </w:tc>
        <w:tc>
          <w:tcPr>
            <w:tcW w:w="1185" w:type="dxa"/>
            <w:vAlign w:val="center"/>
          </w:tcPr>
          <w:p w:rsidR="00561C6D" w:rsidRDefault="00561C6D" w:rsidP="00870BB1">
            <w:pPr>
              <w:jc w:val="center"/>
              <w:rPr>
                <w:rFonts w:ascii="宋体" w:eastAsia="宋体" w:hAnsi="宋体" w:cs="宋体"/>
              </w:rPr>
            </w:pPr>
            <w:r>
              <w:rPr>
                <w:rFonts w:ascii="宋体" w:eastAsia="宋体" w:hAnsi="宋体" w:cs="宋体"/>
              </w:rPr>
              <w:t>30</w:t>
            </w:r>
            <w:r>
              <w:rPr>
                <w:rFonts w:ascii="宋体" w:eastAsia="宋体" w:hAnsi="宋体" w:cs="宋体" w:hint="eastAsia"/>
              </w:rPr>
              <w:t>分</w:t>
            </w:r>
          </w:p>
        </w:tc>
        <w:tc>
          <w:tcPr>
            <w:tcW w:w="5161" w:type="dxa"/>
            <w:vAlign w:val="center"/>
          </w:tcPr>
          <w:p w:rsidR="00561C6D" w:rsidRDefault="00561C6D" w:rsidP="00870BB1">
            <w:pPr>
              <w:rPr>
                <w:rFonts w:ascii="宋体" w:eastAsia="宋体" w:hAnsi="宋体" w:cs="宋体"/>
              </w:rPr>
            </w:pPr>
            <w:r>
              <w:rPr>
                <w:rFonts w:ascii="宋体" w:eastAsia="宋体" w:hAnsi="宋体" w:cs="宋体" w:hint="eastAsia"/>
              </w:rPr>
              <w:t>以本次经评审合格的最低有效投标报价为基准价，投标报价得分=(基准价／投标报价)×</w:t>
            </w:r>
            <w:r>
              <w:rPr>
                <w:rFonts w:ascii="宋体" w:eastAsia="宋体" w:hAnsi="宋体" w:cs="宋体"/>
              </w:rPr>
              <w:t>30</w:t>
            </w:r>
            <w:r>
              <w:rPr>
                <w:rFonts w:ascii="宋体" w:eastAsia="宋体" w:hAnsi="宋体" w:cs="宋体" w:hint="eastAsia"/>
              </w:rPr>
              <w:t>分。</w:t>
            </w:r>
          </w:p>
        </w:tc>
        <w:tc>
          <w:tcPr>
            <w:tcW w:w="1723" w:type="dxa"/>
            <w:vAlign w:val="center"/>
          </w:tcPr>
          <w:p w:rsidR="00561C6D" w:rsidRDefault="00561C6D" w:rsidP="00870BB1">
            <w:pPr>
              <w:rPr>
                <w:rFonts w:ascii="宋体" w:eastAsia="宋体" w:hAnsi="宋体" w:cs="宋体"/>
              </w:rPr>
            </w:pPr>
            <w:r>
              <w:rPr>
                <w:rFonts w:ascii="宋体" w:eastAsia="宋体" w:hAnsi="宋体" w:cs="宋体" w:hint="eastAsia"/>
              </w:rPr>
              <w:t>共同评审因素</w:t>
            </w:r>
          </w:p>
        </w:tc>
      </w:tr>
      <w:tr w:rsidR="00561C6D" w:rsidTr="00870BB1">
        <w:trPr>
          <w:trHeight w:val="23"/>
        </w:trPr>
        <w:tc>
          <w:tcPr>
            <w:tcW w:w="662" w:type="dxa"/>
            <w:vMerge w:val="restart"/>
            <w:vAlign w:val="center"/>
          </w:tcPr>
          <w:p w:rsidR="00561C6D" w:rsidRDefault="00561C6D" w:rsidP="00870BB1">
            <w:pPr>
              <w:spacing w:line="400" w:lineRule="exact"/>
              <w:ind w:firstLine="28"/>
              <w:jc w:val="center"/>
              <w:rPr>
                <w:rFonts w:ascii="宋体" w:eastAsia="宋体" w:hAnsi="宋体" w:cs="宋体"/>
              </w:rPr>
            </w:pPr>
            <w:r>
              <w:rPr>
                <w:rFonts w:ascii="宋体" w:eastAsia="宋体" w:hAnsi="宋体" w:cs="宋体" w:hint="eastAsia"/>
              </w:rPr>
              <w:t>2</w:t>
            </w:r>
          </w:p>
        </w:tc>
        <w:tc>
          <w:tcPr>
            <w:tcW w:w="1306" w:type="dxa"/>
            <w:vMerge w:val="restart"/>
            <w:vAlign w:val="center"/>
          </w:tcPr>
          <w:p w:rsidR="00561C6D" w:rsidRDefault="00561C6D" w:rsidP="00870BB1">
            <w:pPr>
              <w:spacing w:line="400" w:lineRule="exact"/>
              <w:ind w:firstLine="28"/>
              <w:jc w:val="center"/>
              <w:rPr>
                <w:rFonts w:ascii="宋体" w:eastAsia="宋体" w:hAnsi="宋体" w:cs="宋体"/>
              </w:rPr>
            </w:pPr>
            <w:r>
              <w:rPr>
                <w:rFonts w:ascii="宋体" w:eastAsia="宋体" w:hAnsi="宋体" w:cs="宋体" w:hint="eastAsia"/>
              </w:rPr>
              <w:t>履约保障方案6</w:t>
            </w:r>
            <w:r>
              <w:rPr>
                <w:rFonts w:ascii="宋体" w:eastAsia="宋体" w:hAnsi="宋体" w:cs="宋体"/>
              </w:rPr>
              <w:t>8</w:t>
            </w:r>
            <w:r>
              <w:rPr>
                <w:rFonts w:ascii="宋体" w:eastAsia="宋体" w:hAnsi="宋体" w:cs="宋体" w:hint="eastAsia"/>
              </w:rPr>
              <w:t>%</w:t>
            </w:r>
          </w:p>
        </w:tc>
        <w:tc>
          <w:tcPr>
            <w:tcW w:w="1185" w:type="dxa"/>
            <w:vAlign w:val="center"/>
          </w:tcPr>
          <w:p w:rsidR="00561C6D" w:rsidRDefault="00561C6D" w:rsidP="00870BB1">
            <w:pPr>
              <w:spacing w:line="400" w:lineRule="exact"/>
              <w:ind w:firstLine="28"/>
              <w:jc w:val="center"/>
              <w:rPr>
                <w:rFonts w:eastAsia="宋体" w:hAnsi="宋体" w:cs="宋体"/>
              </w:rPr>
            </w:pPr>
            <w:r>
              <w:rPr>
                <w:rFonts w:ascii="宋体" w:eastAsia="宋体" w:hAnsi="宋体" w:cs="宋体" w:hint="eastAsia"/>
              </w:rPr>
              <w:t>人员配备方案</w:t>
            </w:r>
            <w:r>
              <w:rPr>
                <w:rFonts w:ascii="宋体" w:eastAsia="宋体" w:hAnsi="宋体" w:cs="宋体"/>
              </w:rPr>
              <w:t>18</w:t>
            </w:r>
            <w:r>
              <w:rPr>
                <w:rFonts w:ascii="宋体" w:eastAsia="宋体" w:hAnsi="宋体" w:cs="宋体" w:hint="eastAsia"/>
              </w:rPr>
              <w:t>分</w:t>
            </w:r>
          </w:p>
        </w:tc>
        <w:tc>
          <w:tcPr>
            <w:tcW w:w="5161" w:type="dxa"/>
            <w:vAlign w:val="center"/>
          </w:tcPr>
          <w:p w:rsidR="00561C6D" w:rsidRDefault="00561C6D" w:rsidP="00870BB1">
            <w:pPr>
              <w:pStyle w:val="aa"/>
              <w:rPr>
                <w:rFonts w:ascii="宋体" w:eastAsia="宋体"/>
                <w:lang w:eastAsia="zh-CN"/>
              </w:rPr>
            </w:pPr>
            <w:r>
              <w:rPr>
                <w:rFonts w:eastAsia="宋体" w:hAnsi="宋体" w:cs="宋体" w:hint="eastAsia"/>
                <w:kern w:val="2"/>
                <w:lang w:eastAsia="zh-CN"/>
              </w:rPr>
              <w:t>投标人提供完整的人员配备方案（需包含①项目人员投入方案、②团队实施力量方案、③服务人员保障方案、）</w:t>
            </w:r>
            <w:r>
              <w:rPr>
                <w:rFonts w:ascii="宋体" w:eastAsia="宋体" w:hAnsi="宋体" w:cs="宋体" w:hint="eastAsia"/>
                <w:lang w:eastAsia="zh-CN"/>
              </w:rPr>
              <w:t>方案内容完整，有具体详细的阐述，逻辑严谨，满足本项目采购需求的得</w:t>
            </w:r>
            <w:r>
              <w:rPr>
                <w:rFonts w:ascii="宋体" w:eastAsia="宋体" w:hAnsi="宋体" w:cs="宋体"/>
                <w:lang w:eastAsia="zh-CN"/>
              </w:rPr>
              <w:t>18</w:t>
            </w:r>
            <w:r>
              <w:rPr>
                <w:rFonts w:hint="eastAsia"/>
                <w:lang w:eastAsia="zh-CN"/>
              </w:rPr>
              <w:t>分；每有一项缺失扣</w:t>
            </w:r>
            <w:r>
              <w:rPr>
                <w:lang w:eastAsia="zh-CN"/>
              </w:rPr>
              <w:t>6</w:t>
            </w:r>
            <w:r>
              <w:rPr>
                <w:rFonts w:hint="eastAsia"/>
                <w:lang w:eastAsia="zh-CN"/>
              </w:rPr>
              <w:t>分，每有一项有缺陷或瑕疵扣</w:t>
            </w:r>
            <w:r>
              <w:rPr>
                <w:rFonts w:hint="eastAsia"/>
                <w:lang w:eastAsia="zh-CN"/>
              </w:rPr>
              <w:t>3</w:t>
            </w:r>
            <w:r>
              <w:rPr>
                <w:rFonts w:hint="eastAsia"/>
                <w:lang w:eastAsia="zh-CN"/>
              </w:rPr>
              <w:t>分，扣完为止。未提供不得分。</w:t>
            </w:r>
          </w:p>
        </w:tc>
        <w:tc>
          <w:tcPr>
            <w:tcW w:w="1723" w:type="dxa"/>
            <w:vMerge w:val="restart"/>
            <w:vAlign w:val="center"/>
          </w:tcPr>
          <w:p w:rsidR="00561C6D" w:rsidRDefault="00561C6D" w:rsidP="00870BB1">
            <w:pPr>
              <w:rPr>
                <w:rFonts w:ascii="宋体" w:eastAsia="宋体" w:hAnsi="宋体" w:cs="宋体"/>
              </w:rPr>
            </w:pPr>
            <w:r>
              <w:rPr>
                <w:rFonts w:ascii="宋体" w:eastAsia="宋体"/>
              </w:rPr>
              <w:t>（缺陷或瑕疵是指：存在不适用于项目实际情况的情形、凭空编造、方案内容中前后不一致、前后逻辑错误、地点区域错误、内容不完善缺乏深度等）。</w:t>
            </w:r>
            <w:r>
              <w:rPr>
                <w:rFonts w:ascii="宋体" w:eastAsia="宋体" w:hAnsi="宋体" w:cs="宋体" w:hint="eastAsia"/>
              </w:rPr>
              <w:t>技术评审因素</w:t>
            </w:r>
          </w:p>
        </w:tc>
      </w:tr>
      <w:tr w:rsidR="00561C6D" w:rsidTr="00870BB1">
        <w:trPr>
          <w:trHeight w:val="23"/>
        </w:trPr>
        <w:tc>
          <w:tcPr>
            <w:tcW w:w="662" w:type="dxa"/>
            <w:vMerge/>
            <w:vAlign w:val="center"/>
          </w:tcPr>
          <w:p w:rsidR="00561C6D" w:rsidRDefault="00561C6D" w:rsidP="00870BB1">
            <w:pPr>
              <w:spacing w:line="400" w:lineRule="exact"/>
              <w:ind w:firstLine="28"/>
              <w:jc w:val="center"/>
              <w:rPr>
                <w:rFonts w:ascii="宋体" w:eastAsia="宋体" w:hAnsi="宋体" w:cs="宋体"/>
              </w:rPr>
            </w:pPr>
          </w:p>
        </w:tc>
        <w:tc>
          <w:tcPr>
            <w:tcW w:w="1306" w:type="dxa"/>
            <w:vMerge/>
            <w:vAlign w:val="center"/>
          </w:tcPr>
          <w:p w:rsidR="00561C6D" w:rsidRDefault="00561C6D" w:rsidP="00870BB1">
            <w:pPr>
              <w:spacing w:line="400" w:lineRule="exact"/>
              <w:ind w:firstLine="28"/>
              <w:jc w:val="center"/>
              <w:rPr>
                <w:rFonts w:ascii="宋体" w:eastAsia="宋体" w:hAnsi="宋体" w:cs="宋体"/>
              </w:rPr>
            </w:pPr>
          </w:p>
        </w:tc>
        <w:tc>
          <w:tcPr>
            <w:tcW w:w="1185" w:type="dxa"/>
            <w:vAlign w:val="center"/>
          </w:tcPr>
          <w:p w:rsidR="00561C6D" w:rsidRDefault="00561C6D" w:rsidP="00870BB1">
            <w:pPr>
              <w:spacing w:line="400" w:lineRule="exact"/>
              <w:ind w:firstLine="28"/>
              <w:jc w:val="center"/>
              <w:rPr>
                <w:rFonts w:eastAsia="宋体" w:hAnsi="宋体" w:cs="宋体"/>
              </w:rPr>
            </w:pPr>
            <w:r>
              <w:rPr>
                <w:rFonts w:ascii="宋体" w:eastAsia="宋体" w:hAnsi="宋体" w:cs="宋体" w:hint="eastAsia"/>
              </w:rPr>
              <w:t>项目实施方案30分</w:t>
            </w:r>
          </w:p>
        </w:tc>
        <w:tc>
          <w:tcPr>
            <w:tcW w:w="5161" w:type="dxa"/>
            <w:vAlign w:val="center"/>
          </w:tcPr>
          <w:p w:rsidR="00561C6D" w:rsidRDefault="00561C6D" w:rsidP="00870BB1">
            <w:pPr>
              <w:spacing w:line="360" w:lineRule="auto"/>
              <w:rPr>
                <w:rFonts w:ascii="宋体" w:eastAsia="宋体"/>
              </w:rPr>
            </w:pPr>
            <w:r>
              <w:rPr>
                <w:rFonts w:hAnsi="宋体" w:cs="宋体" w:hint="eastAsia"/>
              </w:rPr>
              <w:t>投标人提供完整的项目实施方案（</w:t>
            </w:r>
            <w:r>
              <w:rPr>
                <w:rFonts w:hint="eastAsia"/>
                <w:bCs/>
                <w:color w:val="000000" w:themeColor="text1"/>
              </w:rPr>
              <w:t>①项目实施计划、②项目实施质量保证措施、③项目调试方案、④项目验收方案</w:t>
            </w:r>
            <w:r>
              <w:rPr>
                <w:rFonts w:hAnsi="宋体" w:cs="宋体" w:hint="eastAsia"/>
              </w:rPr>
              <w:t>）</w:t>
            </w:r>
            <w:r>
              <w:rPr>
                <w:rFonts w:ascii="宋体" w:eastAsia="宋体" w:hAnsi="宋体" w:cs="宋体" w:hint="eastAsia"/>
              </w:rPr>
              <w:t>方案内容完整，有具体详细的阐述，逻辑严谨，满足本项目采购需求的得</w:t>
            </w:r>
            <w:r>
              <w:rPr>
                <w:rFonts w:hint="eastAsia"/>
              </w:rPr>
              <w:t>30</w:t>
            </w:r>
            <w:r>
              <w:rPr>
                <w:rFonts w:hint="eastAsia"/>
              </w:rPr>
              <w:t>分；每有一项缺失扣</w:t>
            </w:r>
            <w:r>
              <w:rPr>
                <w:rFonts w:hint="eastAsia"/>
              </w:rPr>
              <w:t>7.5</w:t>
            </w:r>
            <w:r>
              <w:rPr>
                <w:rFonts w:hint="eastAsia"/>
              </w:rPr>
              <w:t>分，每有一项有缺陷或瑕疵扣</w:t>
            </w:r>
            <w:r>
              <w:rPr>
                <w:rFonts w:hint="eastAsia"/>
              </w:rPr>
              <w:t>3.5</w:t>
            </w:r>
            <w:r>
              <w:rPr>
                <w:rFonts w:hint="eastAsia"/>
              </w:rPr>
              <w:t>分，扣完为止。未提供不得分。</w:t>
            </w:r>
          </w:p>
        </w:tc>
        <w:tc>
          <w:tcPr>
            <w:tcW w:w="1723" w:type="dxa"/>
            <w:vMerge/>
            <w:vAlign w:val="center"/>
          </w:tcPr>
          <w:p w:rsidR="00561C6D" w:rsidRDefault="00561C6D" w:rsidP="00870BB1">
            <w:pPr>
              <w:rPr>
                <w:rFonts w:ascii="宋体" w:eastAsia="宋体" w:hAnsi="宋体" w:cs="宋体"/>
              </w:rPr>
            </w:pPr>
          </w:p>
        </w:tc>
      </w:tr>
      <w:tr w:rsidR="00561C6D" w:rsidTr="00870BB1">
        <w:trPr>
          <w:trHeight w:val="23"/>
        </w:trPr>
        <w:tc>
          <w:tcPr>
            <w:tcW w:w="662" w:type="dxa"/>
            <w:vMerge/>
            <w:vAlign w:val="center"/>
          </w:tcPr>
          <w:p w:rsidR="00561C6D" w:rsidRDefault="00561C6D" w:rsidP="00870BB1">
            <w:pPr>
              <w:spacing w:line="400" w:lineRule="exact"/>
              <w:ind w:firstLine="28"/>
              <w:jc w:val="center"/>
              <w:rPr>
                <w:rFonts w:ascii="宋体" w:eastAsia="宋体" w:hAnsi="宋体" w:cs="宋体"/>
              </w:rPr>
            </w:pPr>
          </w:p>
        </w:tc>
        <w:tc>
          <w:tcPr>
            <w:tcW w:w="1306" w:type="dxa"/>
            <w:vMerge/>
            <w:vAlign w:val="center"/>
          </w:tcPr>
          <w:p w:rsidR="00561C6D" w:rsidRDefault="00561C6D" w:rsidP="00870BB1">
            <w:pPr>
              <w:spacing w:line="400" w:lineRule="exact"/>
              <w:ind w:firstLine="28"/>
              <w:jc w:val="center"/>
              <w:rPr>
                <w:rFonts w:ascii="宋体" w:eastAsia="宋体" w:hAnsi="宋体" w:cs="宋体"/>
              </w:rPr>
            </w:pPr>
          </w:p>
        </w:tc>
        <w:tc>
          <w:tcPr>
            <w:tcW w:w="1185" w:type="dxa"/>
            <w:vAlign w:val="center"/>
          </w:tcPr>
          <w:p w:rsidR="00561C6D" w:rsidRDefault="00561C6D" w:rsidP="00870BB1">
            <w:pPr>
              <w:spacing w:line="400" w:lineRule="exact"/>
              <w:ind w:firstLine="28"/>
              <w:jc w:val="center"/>
              <w:rPr>
                <w:rFonts w:eastAsia="宋体" w:hAnsi="宋体" w:cs="宋体"/>
              </w:rPr>
            </w:pPr>
            <w:r>
              <w:rPr>
                <w:rFonts w:hAnsi="宋体" w:cs="宋体" w:hint="eastAsia"/>
              </w:rPr>
              <w:t>应急保障方案</w:t>
            </w:r>
            <w:r>
              <w:rPr>
                <w:rFonts w:hAnsi="宋体" w:cs="宋体"/>
              </w:rPr>
              <w:t>20</w:t>
            </w:r>
            <w:r>
              <w:rPr>
                <w:rFonts w:ascii="宋体" w:eastAsia="宋体" w:hAnsi="宋体" w:cs="宋体" w:hint="eastAsia"/>
              </w:rPr>
              <w:t>分</w:t>
            </w:r>
          </w:p>
        </w:tc>
        <w:tc>
          <w:tcPr>
            <w:tcW w:w="5161" w:type="dxa"/>
            <w:vAlign w:val="center"/>
          </w:tcPr>
          <w:p w:rsidR="00561C6D" w:rsidRDefault="00561C6D" w:rsidP="00870BB1">
            <w:pPr>
              <w:pStyle w:val="aa"/>
              <w:rPr>
                <w:rFonts w:ascii="宋体" w:eastAsia="宋体"/>
                <w:lang w:eastAsia="zh-CN"/>
              </w:rPr>
            </w:pPr>
            <w:r>
              <w:rPr>
                <w:rFonts w:hAnsi="宋体" w:cs="宋体" w:hint="eastAsia"/>
                <w:lang w:eastAsia="zh-CN"/>
              </w:rPr>
              <w:t>投标人提供完整的应急保障方案（需包含①预警方案、②恢复方案、③配件保障方案、④维修工具配备方案）</w:t>
            </w:r>
            <w:r>
              <w:rPr>
                <w:rFonts w:ascii="宋体" w:eastAsia="宋体" w:hAnsi="宋体" w:cs="宋体" w:hint="eastAsia"/>
                <w:lang w:eastAsia="zh-CN"/>
              </w:rPr>
              <w:t>方案内容完整，有具体详细的阐述，逻辑严谨，满足本项目采购需求的得</w:t>
            </w:r>
            <w:r>
              <w:rPr>
                <w:lang w:eastAsia="zh-CN"/>
              </w:rPr>
              <w:t>20</w:t>
            </w:r>
            <w:r>
              <w:rPr>
                <w:rFonts w:hint="eastAsia"/>
                <w:lang w:eastAsia="zh-CN"/>
              </w:rPr>
              <w:t>分；每有一项缺失扣</w:t>
            </w:r>
            <w:r>
              <w:rPr>
                <w:lang w:eastAsia="zh-CN"/>
              </w:rPr>
              <w:t>5</w:t>
            </w:r>
            <w:r>
              <w:rPr>
                <w:rFonts w:hint="eastAsia"/>
                <w:lang w:eastAsia="zh-CN"/>
              </w:rPr>
              <w:t>分，每有一项有缺陷或瑕疵扣</w:t>
            </w:r>
            <w:r>
              <w:rPr>
                <w:lang w:eastAsia="zh-CN"/>
              </w:rPr>
              <w:t>2</w:t>
            </w:r>
            <w:r>
              <w:rPr>
                <w:rFonts w:hint="eastAsia"/>
                <w:lang w:eastAsia="zh-CN"/>
              </w:rPr>
              <w:t>分，扣完为止。未提供不得分。</w:t>
            </w:r>
          </w:p>
        </w:tc>
        <w:tc>
          <w:tcPr>
            <w:tcW w:w="1723" w:type="dxa"/>
            <w:vMerge/>
            <w:vAlign w:val="center"/>
          </w:tcPr>
          <w:p w:rsidR="00561C6D" w:rsidRDefault="00561C6D" w:rsidP="00870BB1">
            <w:pPr>
              <w:rPr>
                <w:rFonts w:ascii="宋体" w:eastAsia="宋体" w:hAnsi="宋体" w:cs="宋体"/>
              </w:rPr>
            </w:pPr>
          </w:p>
        </w:tc>
      </w:tr>
      <w:tr w:rsidR="00561C6D" w:rsidTr="00870BB1">
        <w:trPr>
          <w:trHeight w:val="23"/>
        </w:trPr>
        <w:tc>
          <w:tcPr>
            <w:tcW w:w="662" w:type="dxa"/>
            <w:vAlign w:val="center"/>
          </w:tcPr>
          <w:p w:rsidR="00561C6D" w:rsidRDefault="00561C6D" w:rsidP="00870BB1">
            <w:pPr>
              <w:spacing w:line="400" w:lineRule="exact"/>
              <w:ind w:firstLine="28"/>
              <w:jc w:val="center"/>
              <w:rPr>
                <w:rFonts w:ascii="宋体" w:eastAsia="宋体" w:hAnsi="宋体" w:cs="宋体"/>
              </w:rPr>
            </w:pPr>
            <w:r>
              <w:rPr>
                <w:rFonts w:ascii="宋体" w:eastAsia="宋体" w:hAnsi="宋体" w:cs="宋体" w:hint="eastAsia"/>
              </w:rPr>
              <w:t>3</w:t>
            </w:r>
          </w:p>
        </w:tc>
        <w:tc>
          <w:tcPr>
            <w:tcW w:w="1306" w:type="dxa"/>
            <w:vAlign w:val="center"/>
          </w:tcPr>
          <w:p w:rsidR="00561C6D" w:rsidRDefault="00561C6D" w:rsidP="00870BB1">
            <w:pPr>
              <w:pStyle w:val="3"/>
              <w:rPr>
                <w:rFonts w:ascii="宋体" w:eastAsia="宋体" w:hAnsi="宋体" w:cs="宋体"/>
                <w:sz w:val="24"/>
                <w:szCs w:val="24"/>
                <w:lang w:eastAsia="zh-CN"/>
              </w:rPr>
            </w:pPr>
            <w:r>
              <w:rPr>
                <w:rFonts w:ascii="宋体" w:eastAsia="宋体" w:hAnsi="宋体" w:cs="宋体" w:hint="eastAsia"/>
                <w:sz w:val="24"/>
                <w:szCs w:val="24"/>
                <w:lang w:eastAsia="zh-CN"/>
              </w:rPr>
              <w:t>履约能力2%</w:t>
            </w:r>
          </w:p>
          <w:p w:rsidR="00561C6D" w:rsidRDefault="00561C6D" w:rsidP="00870BB1">
            <w:pPr>
              <w:rPr>
                <w:rFonts w:hAnsi="宋体" w:cs="宋体"/>
              </w:rPr>
            </w:pPr>
          </w:p>
        </w:tc>
        <w:tc>
          <w:tcPr>
            <w:tcW w:w="1185" w:type="dxa"/>
            <w:vAlign w:val="center"/>
          </w:tcPr>
          <w:p w:rsidR="00561C6D" w:rsidRDefault="00561C6D" w:rsidP="00870BB1">
            <w:pPr>
              <w:jc w:val="center"/>
              <w:rPr>
                <w:rFonts w:ascii="宋体" w:eastAsia="宋体" w:hAnsi="宋体" w:cs="宋体"/>
              </w:rPr>
            </w:pPr>
            <w:r>
              <w:rPr>
                <w:rFonts w:ascii="宋体" w:eastAsia="宋体" w:hAnsi="宋体" w:cs="宋体" w:hint="eastAsia"/>
              </w:rPr>
              <w:t>2分</w:t>
            </w:r>
          </w:p>
        </w:tc>
        <w:tc>
          <w:tcPr>
            <w:tcW w:w="5161" w:type="dxa"/>
            <w:vAlign w:val="center"/>
          </w:tcPr>
          <w:p w:rsidR="00561C6D" w:rsidRDefault="00561C6D" w:rsidP="00870BB1">
            <w:pPr>
              <w:pStyle w:val="aa"/>
              <w:spacing w:line="440" w:lineRule="exact"/>
              <w:rPr>
                <w:rFonts w:ascii="宋体" w:eastAsia="宋体" w:hAnsi="宋体" w:cs="宋体"/>
                <w:lang w:eastAsia="zh-CN"/>
              </w:rPr>
            </w:pPr>
            <w:r>
              <w:rPr>
                <w:rFonts w:ascii="宋体" w:eastAsia="宋体" w:hAnsi="宋体" w:cs="宋体" w:hint="eastAsia"/>
                <w:lang w:eastAsia="zh-CN"/>
              </w:rPr>
              <w:t>投标人具备有效质量管理体系认证、环境管理体系认证的每有1个得1分，最多得2分，未提供不得分。</w:t>
            </w:r>
          </w:p>
          <w:p w:rsidR="00561C6D" w:rsidRDefault="00561C6D" w:rsidP="00870BB1">
            <w:pPr>
              <w:spacing w:line="360" w:lineRule="auto"/>
              <w:rPr>
                <w:rFonts w:ascii="宋体" w:eastAsia="宋体" w:hAnsi="宋体" w:cs="宋体"/>
                <w:b/>
                <w:bCs/>
              </w:rPr>
            </w:pPr>
            <w:r>
              <w:rPr>
                <w:rFonts w:ascii="宋体" w:eastAsia="宋体" w:hAnsi="宋体" w:cs="宋体" w:hint="eastAsia"/>
                <w:b/>
                <w:bCs/>
                <w:color w:val="000000"/>
              </w:rPr>
              <w:t>注：以上证书提供有效的认证证书复印件，不提供不得分。</w:t>
            </w:r>
          </w:p>
        </w:tc>
        <w:tc>
          <w:tcPr>
            <w:tcW w:w="1723" w:type="dxa"/>
            <w:vAlign w:val="center"/>
          </w:tcPr>
          <w:p w:rsidR="00561C6D" w:rsidRDefault="00561C6D" w:rsidP="00870BB1">
            <w:pPr>
              <w:rPr>
                <w:rFonts w:ascii="宋体" w:eastAsia="宋体" w:hAnsi="宋体" w:cs="宋体"/>
              </w:rPr>
            </w:pPr>
            <w:r>
              <w:rPr>
                <w:rFonts w:ascii="宋体" w:eastAsia="宋体" w:hAnsi="宋体" w:cs="宋体" w:hint="eastAsia"/>
              </w:rPr>
              <w:t>技术评审因素</w:t>
            </w:r>
          </w:p>
        </w:tc>
      </w:tr>
      <w:bookmarkEnd w:id="1"/>
    </w:tbl>
    <w:p w:rsidR="00702DD8" w:rsidRPr="005C6C9E" w:rsidRDefault="00702DD8">
      <w:pPr>
        <w:spacing w:line="360" w:lineRule="auto"/>
        <w:rPr>
          <w:rFonts w:ascii="Times New Roman" w:hAnsi="Times New Roman" w:cs="Times New Roman"/>
          <w:sz w:val="28"/>
          <w:szCs w:val="28"/>
        </w:rPr>
      </w:pP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t>第四章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响应文件要求</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一、比选申请函（格式自拟）；</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二、报价表（格式自拟）；</w:t>
      </w:r>
    </w:p>
    <w:p w:rsidR="0029157C"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三、符合《政府采购法》第二十二条的证明材料及相关的承诺函；</w:t>
      </w:r>
    </w:p>
    <w:p w:rsidR="00B849B2" w:rsidRPr="005C6C9E" w:rsidRDefault="00B849B2">
      <w:pPr>
        <w:spacing w:line="360" w:lineRule="auto"/>
        <w:rPr>
          <w:rFonts w:ascii="Times New Roman" w:hAnsi="Times New Roman" w:cs="Times New Roman"/>
          <w:sz w:val="28"/>
          <w:szCs w:val="28"/>
        </w:rPr>
      </w:pPr>
      <w:r>
        <w:rPr>
          <w:rFonts w:ascii="Times New Roman" w:hAnsi="Times New Roman" w:cs="Times New Roman" w:hint="eastAsia"/>
          <w:sz w:val="28"/>
          <w:szCs w:val="28"/>
        </w:rPr>
        <w:lastRenderedPageBreak/>
        <w:t>四、特定要求证明资料（如有）；</w:t>
      </w:r>
      <w:r w:rsidRPr="005C6C9E">
        <w:rPr>
          <w:rFonts w:ascii="Times New Roman" w:hAnsi="Times New Roman" w:cs="Times New Roman"/>
          <w:sz w:val="28"/>
          <w:szCs w:val="28"/>
        </w:rPr>
        <w:t xml:space="preserve"> </w:t>
      </w:r>
    </w:p>
    <w:p w:rsidR="0029157C" w:rsidRPr="005C6C9E" w:rsidRDefault="00BD7A43">
      <w:pPr>
        <w:spacing w:line="360" w:lineRule="auto"/>
        <w:rPr>
          <w:rFonts w:ascii="Times New Roman" w:hAnsi="Times New Roman" w:cs="Times New Roman"/>
          <w:sz w:val="28"/>
          <w:szCs w:val="28"/>
        </w:rPr>
      </w:pPr>
      <w:r>
        <w:rPr>
          <w:rFonts w:ascii="Times New Roman" w:hAnsi="Times New Roman" w:cs="Times New Roman" w:hint="eastAsia"/>
          <w:sz w:val="28"/>
          <w:szCs w:val="28"/>
        </w:rPr>
        <w:t>五</w:t>
      </w:r>
      <w:r w:rsidR="00150836" w:rsidRPr="005C6C9E">
        <w:rPr>
          <w:rFonts w:ascii="Times New Roman" w:hAnsi="Times New Roman" w:cs="Times New Roman"/>
          <w:sz w:val="28"/>
          <w:szCs w:val="28"/>
        </w:rPr>
        <w:t>、法定代表人授权委托书（法定代表人本人参加的，不提交）；</w:t>
      </w:r>
    </w:p>
    <w:p w:rsidR="0029157C" w:rsidRPr="005C6C9E" w:rsidRDefault="00BD7A43">
      <w:pPr>
        <w:spacing w:line="360" w:lineRule="auto"/>
        <w:rPr>
          <w:rFonts w:ascii="Times New Roman" w:hAnsi="Times New Roman" w:cs="Times New Roman"/>
          <w:sz w:val="28"/>
          <w:szCs w:val="28"/>
        </w:rPr>
      </w:pPr>
      <w:r>
        <w:rPr>
          <w:rFonts w:ascii="Times New Roman" w:hAnsi="Times New Roman" w:cs="Times New Roman" w:hint="eastAsia"/>
          <w:sz w:val="28"/>
          <w:szCs w:val="28"/>
        </w:rPr>
        <w:t>六</w:t>
      </w:r>
      <w:r w:rsidR="00150836" w:rsidRPr="005C6C9E">
        <w:rPr>
          <w:rFonts w:ascii="Times New Roman" w:hAnsi="Times New Roman" w:cs="Times New Roman"/>
          <w:sz w:val="28"/>
          <w:szCs w:val="28"/>
        </w:rPr>
        <w:t>、商务</w:t>
      </w:r>
      <w:r w:rsidR="00150836" w:rsidRPr="005C6C9E">
        <w:rPr>
          <w:rFonts w:ascii="Times New Roman" w:hAnsi="Times New Roman" w:cs="Times New Roman" w:hint="eastAsia"/>
          <w:sz w:val="28"/>
          <w:szCs w:val="28"/>
        </w:rPr>
        <w:t>要求</w:t>
      </w:r>
      <w:r w:rsidR="00150836" w:rsidRPr="005C6C9E">
        <w:rPr>
          <w:rFonts w:ascii="Times New Roman" w:hAnsi="Times New Roman" w:cs="Times New Roman"/>
          <w:sz w:val="28"/>
          <w:szCs w:val="28"/>
        </w:rPr>
        <w:t>响应文件；</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七、其他证明材料。</w:t>
      </w:r>
    </w:p>
    <w:p w:rsidR="0029157C"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    </w:t>
      </w:r>
      <w:r w:rsidRPr="005C6C9E">
        <w:rPr>
          <w:rFonts w:ascii="Times New Roman" w:hAnsi="Times New Roman" w:cs="Times New Roman"/>
          <w:sz w:val="28"/>
          <w:szCs w:val="28"/>
        </w:rPr>
        <w:t>供应商应保证所提交材料的合法性、真实性和有效性。响应文件需提交正本一份</w:t>
      </w:r>
      <w:r w:rsidRPr="005C6C9E">
        <w:rPr>
          <w:rFonts w:ascii="Times New Roman" w:hAnsi="Times New Roman" w:cs="Times New Roman" w:hint="eastAsia"/>
          <w:sz w:val="28"/>
          <w:szCs w:val="28"/>
        </w:rPr>
        <w:t>，密封并加盖公章</w:t>
      </w:r>
      <w:r w:rsidRPr="005C6C9E">
        <w:rPr>
          <w:rFonts w:ascii="Times New Roman" w:hAnsi="Times New Roman" w:cs="Times New Roman"/>
          <w:sz w:val="28"/>
          <w:szCs w:val="28"/>
        </w:rPr>
        <w:t>。</w:t>
      </w:r>
    </w:p>
    <w:sectPr w:rsidR="0029157C">
      <w:pgSz w:w="11906" w:h="16838"/>
      <w:pgMar w:top="1134" w:right="1134" w:bottom="851"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474E3E" w15:done="0"/>
  <w15:commentEx w15:paraId="46940D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6D2" w:rsidRDefault="00EE06D2" w:rsidP="00A03F57">
      <w:r>
        <w:separator/>
      </w:r>
    </w:p>
  </w:endnote>
  <w:endnote w:type="continuationSeparator" w:id="0">
    <w:p w:rsidR="00EE06D2" w:rsidRDefault="00EE06D2" w:rsidP="00A0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Arial Unicode MS">
    <w:panose1 w:val="020B0604020202020204"/>
    <w:charset w:val="86"/>
    <w:family w:val="swiss"/>
    <w:pitch w:val="variable"/>
    <w:sig w:usb0="F7FFAFFF" w:usb1="E9DFFFFF" w:usb2="0000003F" w:usb3="00000000" w:csb0="003F01FF"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6D2" w:rsidRDefault="00EE06D2" w:rsidP="00A03F57">
      <w:r>
        <w:separator/>
      </w:r>
    </w:p>
  </w:footnote>
  <w:footnote w:type="continuationSeparator" w:id="0">
    <w:p w:rsidR="00EE06D2" w:rsidRDefault="00EE06D2" w:rsidP="00A03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CDC96"/>
    <w:multiLevelType w:val="singleLevel"/>
    <w:tmpl w:val="1BDCDC96"/>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董骁勇">
    <w15:presenceInfo w15:providerId="None" w15:userId="董骁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ZjVhNmIxYmMwYmE2ZjQ1Yjk2MGRhYTBiNDEyNGQifQ=="/>
  </w:docVars>
  <w:rsids>
    <w:rsidRoot w:val="002E6875"/>
    <w:rsid w:val="00016F24"/>
    <w:rsid w:val="00020E60"/>
    <w:rsid w:val="00021ECF"/>
    <w:rsid w:val="00033F9D"/>
    <w:rsid w:val="0003433C"/>
    <w:rsid w:val="0004360F"/>
    <w:rsid w:val="000907CE"/>
    <w:rsid w:val="000919CA"/>
    <w:rsid w:val="000A1646"/>
    <w:rsid w:val="000A36F9"/>
    <w:rsid w:val="000C638F"/>
    <w:rsid w:val="000D2DAF"/>
    <w:rsid w:val="000D5D5E"/>
    <w:rsid w:val="000F0D29"/>
    <w:rsid w:val="000F3D61"/>
    <w:rsid w:val="00100810"/>
    <w:rsid w:val="001170A1"/>
    <w:rsid w:val="00136D9A"/>
    <w:rsid w:val="00143752"/>
    <w:rsid w:val="001458B1"/>
    <w:rsid w:val="00150836"/>
    <w:rsid w:val="001A297F"/>
    <w:rsid w:val="001A500C"/>
    <w:rsid w:val="001C4955"/>
    <w:rsid w:val="001D216B"/>
    <w:rsid w:val="001E70AD"/>
    <w:rsid w:val="001F7B83"/>
    <w:rsid w:val="00207202"/>
    <w:rsid w:val="00211041"/>
    <w:rsid w:val="00240874"/>
    <w:rsid w:val="0024393F"/>
    <w:rsid w:val="0026488E"/>
    <w:rsid w:val="002829E1"/>
    <w:rsid w:val="00291518"/>
    <w:rsid w:val="0029157C"/>
    <w:rsid w:val="002A34A6"/>
    <w:rsid w:val="002B0CB9"/>
    <w:rsid w:val="002C133E"/>
    <w:rsid w:val="002D15F8"/>
    <w:rsid w:val="002D263B"/>
    <w:rsid w:val="002D2D2A"/>
    <w:rsid w:val="002D7583"/>
    <w:rsid w:val="002E6875"/>
    <w:rsid w:val="002E6C1A"/>
    <w:rsid w:val="002F64B1"/>
    <w:rsid w:val="00300139"/>
    <w:rsid w:val="00335411"/>
    <w:rsid w:val="003432FA"/>
    <w:rsid w:val="00355EF2"/>
    <w:rsid w:val="00357D69"/>
    <w:rsid w:val="00396F10"/>
    <w:rsid w:val="003A4689"/>
    <w:rsid w:val="003A4D57"/>
    <w:rsid w:val="003C1A11"/>
    <w:rsid w:val="003D2BA4"/>
    <w:rsid w:val="003D797D"/>
    <w:rsid w:val="004063C1"/>
    <w:rsid w:val="00424DEA"/>
    <w:rsid w:val="00427882"/>
    <w:rsid w:val="00430F90"/>
    <w:rsid w:val="00457D9E"/>
    <w:rsid w:val="004762E2"/>
    <w:rsid w:val="00492221"/>
    <w:rsid w:val="0049397A"/>
    <w:rsid w:val="00496C6C"/>
    <w:rsid w:val="004978E6"/>
    <w:rsid w:val="004B71D0"/>
    <w:rsid w:val="004C78FB"/>
    <w:rsid w:val="004D28F9"/>
    <w:rsid w:val="004F11B1"/>
    <w:rsid w:val="004F698A"/>
    <w:rsid w:val="00513630"/>
    <w:rsid w:val="005436E8"/>
    <w:rsid w:val="00547C64"/>
    <w:rsid w:val="00553307"/>
    <w:rsid w:val="00561C6D"/>
    <w:rsid w:val="00594D9A"/>
    <w:rsid w:val="005A6FFF"/>
    <w:rsid w:val="005A71B2"/>
    <w:rsid w:val="005B4D42"/>
    <w:rsid w:val="005C6C9E"/>
    <w:rsid w:val="005D06F5"/>
    <w:rsid w:val="005E01F1"/>
    <w:rsid w:val="005F32F0"/>
    <w:rsid w:val="00600E7F"/>
    <w:rsid w:val="0061508B"/>
    <w:rsid w:val="00620715"/>
    <w:rsid w:val="00646E66"/>
    <w:rsid w:val="00660A95"/>
    <w:rsid w:val="00663AB6"/>
    <w:rsid w:val="006655B6"/>
    <w:rsid w:val="00665A91"/>
    <w:rsid w:val="00677915"/>
    <w:rsid w:val="00694F28"/>
    <w:rsid w:val="006A0161"/>
    <w:rsid w:val="006A1887"/>
    <w:rsid w:val="006A561E"/>
    <w:rsid w:val="006B33FF"/>
    <w:rsid w:val="006C2F2C"/>
    <w:rsid w:val="006C474F"/>
    <w:rsid w:val="006D2579"/>
    <w:rsid w:val="006D4CB3"/>
    <w:rsid w:val="006D775C"/>
    <w:rsid w:val="006F3001"/>
    <w:rsid w:val="00702DD8"/>
    <w:rsid w:val="007215D6"/>
    <w:rsid w:val="0072383E"/>
    <w:rsid w:val="00732C96"/>
    <w:rsid w:val="0075500B"/>
    <w:rsid w:val="00771829"/>
    <w:rsid w:val="007723F2"/>
    <w:rsid w:val="00774679"/>
    <w:rsid w:val="007934EA"/>
    <w:rsid w:val="00797142"/>
    <w:rsid w:val="007A33BA"/>
    <w:rsid w:val="007A4B5D"/>
    <w:rsid w:val="007B3732"/>
    <w:rsid w:val="007F03CB"/>
    <w:rsid w:val="007F3071"/>
    <w:rsid w:val="007F5E3C"/>
    <w:rsid w:val="00806E12"/>
    <w:rsid w:val="008279FC"/>
    <w:rsid w:val="008309CE"/>
    <w:rsid w:val="008615DC"/>
    <w:rsid w:val="00864F80"/>
    <w:rsid w:val="00875C5F"/>
    <w:rsid w:val="00896998"/>
    <w:rsid w:val="008A11D7"/>
    <w:rsid w:val="008A5470"/>
    <w:rsid w:val="008B4D2A"/>
    <w:rsid w:val="008B7BDA"/>
    <w:rsid w:val="008C74A7"/>
    <w:rsid w:val="008D4C3F"/>
    <w:rsid w:val="008D6A78"/>
    <w:rsid w:val="008E2D8A"/>
    <w:rsid w:val="00921EB7"/>
    <w:rsid w:val="0093298E"/>
    <w:rsid w:val="00952266"/>
    <w:rsid w:val="00955B5F"/>
    <w:rsid w:val="00973005"/>
    <w:rsid w:val="009801A6"/>
    <w:rsid w:val="009B08FD"/>
    <w:rsid w:val="009D0C3D"/>
    <w:rsid w:val="009D4988"/>
    <w:rsid w:val="009D5121"/>
    <w:rsid w:val="009F7B65"/>
    <w:rsid w:val="00A02749"/>
    <w:rsid w:val="00A02B18"/>
    <w:rsid w:val="00A02DF0"/>
    <w:rsid w:val="00A03F57"/>
    <w:rsid w:val="00A16C1B"/>
    <w:rsid w:val="00A20C82"/>
    <w:rsid w:val="00A6578A"/>
    <w:rsid w:val="00A75195"/>
    <w:rsid w:val="00A82AE3"/>
    <w:rsid w:val="00A845F7"/>
    <w:rsid w:val="00A97EFB"/>
    <w:rsid w:val="00AB6E18"/>
    <w:rsid w:val="00AC1C37"/>
    <w:rsid w:val="00AF03AA"/>
    <w:rsid w:val="00B0019A"/>
    <w:rsid w:val="00B1626D"/>
    <w:rsid w:val="00B26D00"/>
    <w:rsid w:val="00B30C6C"/>
    <w:rsid w:val="00B3680F"/>
    <w:rsid w:val="00B459C4"/>
    <w:rsid w:val="00B7048C"/>
    <w:rsid w:val="00B7797C"/>
    <w:rsid w:val="00B849B2"/>
    <w:rsid w:val="00B86E7A"/>
    <w:rsid w:val="00B943F4"/>
    <w:rsid w:val="00BB2300"/>
    <w:rsid w:val="00BB6789"/>
    <w:rsid w:val="00BC2ABC"/>
    <w:rsid w:val="00BC79F5"/>
    <w:rsid w:val="00BD2627"/>
    <w:rsid w:val="00BD7A43"/>
    <w:rsid w:val="00BE5EE9"/>
    <w:rsid w:val="00C0231B"/>
    <w:rsid w:val="00C02ABE"/>
    <w:rsid w:val="00C0718B"/>
    <w:rsid w:val="00C26BBF"/>
    <w:rsid w:val="00C4096F"/>
    <w:rsid w:val="00C676E5"/>
    <w:rsid w:val="00C702BB"/>
    <w:rsid w:val="00C76B6A"/>
    <w:rsid w:val="00CA37BF"/>
    <w:rsid w:val="00CD405B"/>
    <w:rsid w:val="00CD5129"/>
    <w:rsid w:val="00CD7778"/>
    <w:rsid w:val="00CE465A"/>
    <w:rsid w:val="00CE4B74"/>
    <w:rsid w:val="00D10B28"/>
    <w:rsid w:val="00D21D9F"/>
    <w:rsid w:val="00D21E67"/>
    <w:rsid w:val="00D25FE8"/>
    <w:rsid w:val="00D26A00"/>
    <w:rsid w:val="00D27D46"/>
    <w:rsid w:val="00D52400"/>
    <w:rsid w:val="00D54A9C"/>
    <w:rsid w:val="00D5568A"/>
    <w:rsid w:val="00D633F1"/>
    <w:rsid w:val="00D8150C"/>
    <w:rsid w:val="00D81745"/>
    <w:rsid w:val="00D939A6"/>
    <w:rsid w:val="00D9559F"/>
    <w:rsid w:val="00DA3ADB"/>
    <w:rsid w:val="00DA5DB3"/>
    <w:rsid w:val="00DB0860"/>
    <w:rsid w:val="00DB6684"/>
    <w:rsid w:val="00DE2F7F"/>
    <w:rsid w:val="00DE533A"/>
    <w:rsid w:val="00DF7A23"/>
    <w:rsid w:val="00DF7CCC"/>
    <w:rsid w:val="00E12B37"/>
    <w:rsid w:val="00E43005"/>
    <w:rsid w:val="00E51E87"/>
    <w:rsid w:val="00E57D95"/>
    <w:rsid w:val="00E62F30"/>
    <w:rsid w:val="00E81BC3"/>
    <w:rsid w:val="00E9516C"/>
    <w:rsid w:val="00E97143"/>
    <w:rsid w:val="00EB6DF2"/>
    <w:rsid w:val="00EC730F"/>
    <w:rsid w:val="00ED091B"/>
    <w:rsid w:val="00ED2BC6"/>
    <w:rsid w:val="00EE06D2"/>
    <w:rsid w:val="00EE409C"/>
    <w:rsid w:val="00EE6D2A"/>
    <w:rsid w:val="00EF1601"/>
    <w:rsid w:val="00EF6B49"/>
    <w:rsid w:val="00EF77AE"/>
    <w:rsid w:val="00F14B22"/>
    <w:rsid w:val="00F155D6"/>
    <w:rsid w:val="00F255F3"/>
    <w:rsid w:val="00F33587"/>
    <w:rsid w:val="00F51913"/>
    <w:rsid w:val="00F56E40"/>
    <w:rsid w:val="00F5758D"/>
    <w:rsid w:val="00F700F5"/>
    <w:rsid w:val="00F836EB"/>
    <w:rsid w:val="00F96186"/>
    <w:rsid w:val="00FB6CCB"/>
    <w:rsid w:val="00FF6C06"/>
    <w:rsid w:val="16343312"/>
    <w:rsid w:val="38885B58"/>
    <w:rsid w:val="3DF43271"/>
    <w:rsid w:val="4C730B96"/>
    <w:rsid w:val="5453228F"/>
    <w:rsid w:val="684304F8"/>
    <w:rsid w:val="71233860"/>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lang w:bidi="ar-SA"/>
    </w:rPr>
  </w:style>
  <w:style w:type="paragraph" w:styleId="3">
    <w:name w:val="heading 3"/>
    <w:basedOn w:val="a"/>
    <w:next w:val="a"/>
    <w:link w:val="3Char"/>
    <w:qFormat/>
    <w:rsid w:val="00561C6D"/>
    <w:pPr>
      <w:keepNext/>
      <w:keepLines/>
      <w:widowControl/>
      <w:spacing w:before="260" w:after="260" w:line="415" w:lineRule="auto"/>
      <w:jc w:val="left"/>
      <w:outlineLvl w:val="2"/>
    </w:pPr>
    <w:rPr>
      <w:rFonts w:ascii="Times New Roman" w:eastAsia="Arial Unicode MS" w:hAnsi="Times New Roman" w:cs="Times New Roman"/>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pPr>
      <w:ind w:firstLineChars="200" w:firstLine="420"/>
    </w:pPr>
    <w:rPr>
      <w:rFonts w:ascii="宋体" w:eastAsia="宋体" w:hAnsi="宋体" w:cs="Times New Roman"/>
      <w:szCs w:val="20"/>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font31">
    <w:name w:val="font31"/>
    <w:basedOn w:val="a0"/>
    <w:rPr>
      <w:rFonts w:ascii="方正仿宋_GBK" w:eastAsia="方正仿宋_GBK" w:hAnsi="方正仿宋_GBK" w:cs="方正仿宋_GBK"/>
      <w:color w:val="000000"/>
      <w:sz w:val="24"/>
      <w:szCs w:val="24"/>
      <w:u w:val="none"/>
    </w:rPr>
  </w:style>
  <w:style w:type="character" w:customStyle="1" w:styleId="font21">
    <w:name w:val="font21"/>
    <w:basedOn w:val="a0"/>
    <w:autoRedefine/>
    <w:rPr>
      <w:rFonts w:ascii="Times New Roman" w:hAnsi="Times New Roman" w:cs="Times New Roman" w:hint="default"/>
      <w:color w:val="000000"/>
      <w:sz w:val="24"/>
      <w:szCs w:val="24"/>
      <w:u w:val="none"/>
    </w:rPr>
  </w:style>
  <w:style w:type="character" w:customStyle="1" w:styleId="font01">
    <w:name w:val="font01"/>
    <w:basedOn w:val="a0"/>
    <w:rPr>
      <w:rFonts w:ascii="宋体" w:eastAsia="宋体" w:hAnsi="宋体" w:cs="宋体" w:hint="eastAsia"/>
      <w:color w:val="000000"/>
      <w:sz w:val="24"/>
      <w:szCs w:val="24"/>
      <w:u w:val="none"/>
    </w:rPr>
  </w:style>
  <w:style w:type="character" w:customStyle="1" w:styleId="Char0">
    <w:name w:val="正文文本缩进 Char"/>
    <w:basedOn w:val="a0"/>
    <w:link w:val="a4"/>
    <w:rPr>
      <w:rFonts w:ascii="宋体" w:hAnsi="宋体"/>
      <w:kern w:val="2"/>
      <w:sz w:val="21"/>
      <w:lang w:bidi="ar-SA"/>
    </w:rPr>
  </w:style>
  <w:style w:type="character" w:customStyle="1" w:styleId="Char1">
    <w:name w:val="批注框文本 Char"/>
    <w:basedOn w:val="a0"/>
    <w:link w:val="a5"/>
    <w:uiPriority w:val="99"/>
    <w:semiHidden/>
    <w:rPr>
      <w:rFonts w:asciiTheme="minorHAnsi" w:eastAsiaTheme="minorEastAsia" w:hAnsiTheme="minorHAnsi" w:cstheme="minorBidi"/>
      <w:kern w:val="2"/>
      <w:sz w:val="18"/>
      <w:szCs w:val="18"/>
      <w:lang w:bidi="ar-SA"/>
    </w:rPr>
  </w:style>
  <w:style w:type="paragraph" w:customStyle="1" w:styleId="Default">
    <w:name w:val="Default"/>
    <w:qFormat/>
    <w:pPr>
      <w:widowControl w:val="0"/>
      <w:autoSpaceDE w:val="0"/>
      <w:autoSpaceDN w:val="0"/>
      <w:adjustRightInd w:val="0"/>
    </w:pPr>
    <w:rPr>
      <w:rFonts w:ascii="宋体" w:cs="宋体"/>
      <w:color w:val="000000"/>
      <w:sz w:val="24"/>
      <w:szCs w:val="24"/>
      <w:lang w:bidi="ar-SA"/>
    </w:r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lang w:bidi="ar-SA"/>
    </w:rPr>
  </w:style>
  <w:style w:type="character" w:customStyle="1" w:styleId="Char4">
    <w:name w:val="批注主题 Char"/>
    <w:basedOn w:val="Char"/>
    <w:link w:val="a8"/>
    <w:uiPriority w:val="99"/>
    <w:semiHidden/>
    <w:rPr>
      <w:rFonts w:asciiTheme="minorHAnsi" w:eastAsiaTheme="minorEastAsia" w:hAnsiTheme="minorHAnsi" w:cstheme="minorBidi"/>
      <w:b/>
      <w:bCs/>
      <w:kern w:val="2"/>
      <w:sz w:val="21"/>
      <w:szCs w:val="22"/>
      <w:lang w:bidi="ar-SA"/>
    </w:rPr>
  </w:style>
  <w:style w:type="paragraph" w:customStyle="1" w:styleId="15">
    <w:name w:val="15、“一、”二级标题"/>
    <w:autoRedefine/>
    <w:qFormat/>
    <w:rsid w:val="00A75195"/>
    <w:pPr>
      <w:widowControl w:val="0"/>
      <w:ind w:firstLine="803"/>
      <w:jc w:val="both"/>
      <w:outlineLvl w:val="1"/>
    </w:pPr>
    <w:rPr>
      <w:rFonts w:ascii="Arial Unicode MS" w:eastAsia="Arial Unicode MS" w:hAnsi="Arial Unicode MS" w:cs="Arial Unicode MS" w:hint="eastAsia"/>
      <w:b/>
      <w:bCs/>
      <w:color w:val="000000"/>
      <w:kern w:val="2"/>
      <w:sz w:val="21"/>
      <w:szCs w:val="21"/>
      <w:u w:color="000000"/>
      <w:lang w:bidi="ar-SA"/>
    </w:rPr>
  </w:style>
  <w:style w:type="character" w:customStyle="1" w:styleId="3Char">
    <w:name w:val="标题 3 Char"/>
    <w:basedOn w:val="a0"/>
    <w:link w:val="3"/>
    <w:rsid w:val="00561C6D"/>
    <w:rPr>
      <w:rFonts w:eastAsia="Arial Unicode MS"/>
      <w:b/>
      <w:bCs/>
      <w:sz w:val="32"/>
      <w:szCs w:val="32"/>
      <w:lang w:eastAsia="en-US" w:bidi="ar-SA"/>
    </w:rPr>
  </w:style>
  <w:style w:type="paragraph" w:customStyle="1" w:styleId="aa">
    <w:name w:val="表格"/>
    <w:basedOn w:val="a"/>
    <w:autoRedefine/>
    <w:qFormat/>
    <w:rsid w:val="00561C6D"/>
    <w:pPr>
      <w:widowControl/>
      <w:spacing w:line="400" w:lineRule="exact"/>
      <w:jc w:val="left"/>
    </w:pPr>
    <w:rPr>
      <w:rFonts w:ascii="Times New Roman" w:eastAsia="Arial Unicode MS" w:hAnsi="Times New Roman" w:cs="Times New Roman"/>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lang w:bidi="ar-SA"/>
    </w:rPr>
  </w:style>
  <w:style w:type="paragraph" w:styleId="3">
    <w:name w:val="heading 3"/>
    <w:basedOn w:val="a"/>
    <w:next w:val="a"/>
    <w:link w:val="3Char"/>
    <w:qFormat/>
    <w:rsid w:val="00561C6D"/>
    <w:pPr>
      <w:keepNext/>
      <w:keepLines/>
      <w:widowControl/>
      <w:spacing w:before="260" w:after="260" w:line="415" w:lineRule="auto"/>
      <w:jc w:val="left"/>
      <w:outlineLvl w:val="2"/>
    </w:pPr>
    <w:rPr>
      <w:rFonts w:ascii="Times New Roman" w:eastAsia="Arial Unicode MS" w:hAnsi="Times New Roman" w:cs="Times New Roman"/>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pPr>
      <w:ind w:firstLineChars="200" w:firstLine="420"/>
    </w:pPr>
    <w:rPr>
      <w:rFonts w:ascii="宋体" w:eastAsia="宋体" w:hAnsi="宋体" w:cs="Times New Roman"/>
      <w:szCs w:val="20"/>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font31">
    <w:name w:val="font31"/>
    <w:basedOn w:val="a0"/>
    <w:rPr>
      <w:rFonts w:ascii="方正仿宋_GBK" w:eastAsia="方正仿宋_GBK" w:hAnsi="方正仿宋_GBK" w:cs="方正仿宋_GBK"/>
      <w:color w:val="000000"/>
      <w:sz w:val="24"/>
      <w:szCs w:val="24"/>
      <w:u w:val="none"/>
    </w:rPr>
  </w:style>
  <w:style w:type="character" w:customStyle="1" w:styleId="font21">
    <w:name w:val="font21"/>
    <w:basedOn w:val="a0"/>
    <w:autoRedefine/>
    <w:rPr>
      <w:rFonts w:ascii="Times New Roman" w:hAnsi="Times New Roman" w:cs="Times New Roman" w:hint="default"/>
      <w:color w:val="000000"/>
      <w:sz w:val="24"/>
      <w:szCs w:val="24"/>
      <w:u w:val="none"/>
    </w:rPr>
  </w:style>
  <w:style w:type="character" w:customStyle="1" w:styleId="font01">
    <w:name w:val="font01"/>
    <w:basedOn w:val="a0"/>
    <w:rPr>
      <w:rFonts w:ascii="宋体" w:eastAsia="宋体" w:hAnsi="宋体" w:cs="宋体" w:hint="eastAsia"/>
      <w:color w:val="000000"/>
      <w:sz w:val="24"/>
      <w:szCs w:val="24"/>
      <w:u w:val="none"/>
    </w:rPr>
  </w:style>
  <w:style w:type="character" w:customStyle="1" w:styleId="Char0">
    <w:name w:val="正文文本缩进 Char"/>
    <w:basedOn w:val="a0"/>
    <w:link w:val="a4"/>
    <w:rPr>
      <w:rFonts w:ascii="宋体" w:hAnsi="宋体"/>
      <w:kern w:val="2"/>
      <w:sz w:val="21"/>
      <w:lang w:bidi="ar-SA"/>
    </w:rPr>
  </w:style>
  <w:style w:type="character" w:customStyle="1" w:styleId="Char1">
    <w:name w:val="批注框文本 Char"/>
    <w:basedOn w:val="a0"/>
    <w:link w:val="a5"/>
    <w:uiPriority w:val="99"/>
    <w:semiHidden/>
    <w:rPr>
      <w:rFonts w:asciiTheme="minorHAnsi" w:eastAsiaTheme="minorEastAsia" w:hAnsiTheme="minorHAnsi" w:cstheme="minorBidi"/>
      <w:kern w:val="2"/>
      <w:sz w:val="18"/>
      <w:szCs w:val="18"/>
      <w:lang w:bidi="ar-SA"/>
    </w:rPr>
  </w:style>
  <w:style w:type="paragraph" w:customStyle="1" w:styleId="Default">
    <w:name w:val="Default"/>
    <w:qFormat/>
    <w:pPr>
      <w:widowControl w:val="0"/>
      <w:autoSpaceDE w:val="0"/>
      <w:autoSpaceDN w:val="0"/>
      <w:adjustRightInd w:val="0"/>
    </w:pPr>
    <w:rPr>
      <w:rFonts w:ascii="宋体" w:cs="宋体"/>
      <w:color w:val="000000"/>
      <w:sz w:val="24"/>
      <w:szCs w:val="24"/>
      <w:lang w:bidi="ar-SA"/>
    </w:r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lang w:bidi="ar-SA"/>
    </w:rPr>
  </w:style>
  <w:style w:type="character" w:customStyle="1" w:styleId="Char4">
    <w:name w:val="批注主题 Char"/>
    <w:basedOn w:val="Char"/>
    <w:link w:val="a8"/>
    <w:uiPriority w:val="99"/>
    <w:semiHidden/>
    <w:rPr>
      <w:rFonts w:asciiTheme="minorHAnsi" w:eastAsiaTheme="minorEastAsia" w:hAnsiTheme="minorHAnsi" w:cstheme="minorBidi"/>
      <w:b/>
      <w:bCs/>
      <w:kern w:val="2"/>
      <w:sz w:val="21"/>
      <w:szCs w:val="22"/>
      <w:lang w:bidi="ar-SA"/>
    </w:rPr>
  </w:style>
  <w:style w:type="paragraph" w:customStyle="1" w:styleId="15">
    <w:name w:val="15、“一、”二级标题"/>
    <w:autoRedefine/>
    <w:qFormat/>
    <w:rsid w:val="00A75195"/>
    <w:pPr>
      <w:widowControl w:val="0"/>
      <w:ind w:firstLine="803"/>
      <w:jc w:val="both"/>
      <w:outlineLvl w:val="1"/>
    </w:pPr>
    <w:rPr>
      <w:rFonts w:ascii="Arial Unicode MS" w:eastAsia="Arial Unicode MS" w:hAnsi="Arial Unicode MS" w:cs="Arial Unicode MS" w:hint="eastAsia"/>
      <w:b/>
      <w:bCs/>
      <w:color w:val="000000"/>
      <w:kern w:val="2"/>
      <w:sz w:val="21"/>
      <w:szCs w:val="21"/>
      <w:u w:color="000000"/>
      <w:lang w:bidi="ar-SA"/>
    </w:rPr>
  </w:style>
  <w:style w:type="character" w:customStyle="1" w:styleId="3Char">
    <w:name w:val="标题 3 Char"/>
    <w:basedOn w:val="a0"/>
    <w:link w:val="3"/>
    <w:rsid w:val="00561C6D"/>
    <w:rPr>
      <w:rFonts w:eastAsia="Arial Unicode MS"/>
      <w:b/>
      <w:bCs/>
      <w:sz w:val="32"/>
      <w:szCs w:val="32"/>
      <w:lang w:eastAsia="en-US" w:bidi="ar-SA"/>
    </w:rPr>
  </w:style>
  <w:style w:type="paragraph" w:customStyle="1" w:styleId="aa">
    <w:name w:val="表格"/>
    <w:basedOn w:val="a"/>
    <w:autoRedefine/>
    <w:qFormat/>
    <w:rsid w:val="00561C6D"/>
    <w:pPr>
      <w:widowControl/>
      <w:spacing w:line="400" w:lineRule="exact"/>
      <w:jc w:val="left"/>
    </w:pPr>
    <w:rPr>
      <w:rFonts w:ascii="Times New Roman" w:eastAsia="Arial Unicode MS"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5</Pages>
  <Words>330</Words>
  <Characters>1886</Characters>
  <Application>Microsoft Office Word</Application>
  <DocSecurity>0</DocSecurity>
  <Lines>15</Lines>
  <Paragraphs>4</Paragraphs>
  <ScaleCrop>false</ScaleCrop>
  <Company>微软中国</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汪曾凤</cp:lastModifiedBy>
  <cp:revision>177</cp:revision>
  <cp:lastPrinted>2023-12-29T01:03:00Z</cp:lastPrinted>
  <dcterms:created xsi:type="dcterms:W3CDTF">2022-05-05T03:05:00Z</dcterms:created>
  <dcterms:modified xsi:type="dcterms:W3CDTF">2024-02-23T01:24:00Z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97BC7A4378A14EB1929B3F9DE408EC90_12</vt:lpwstr>
  </property>
</Properties>
</file>