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附件</w:t>
      </w:r>
      <w:r>
        <w:rPr>
          <w:rFonts w:ascii="仿宋" w:hAnsi="仿宋" w:eastAsia="仿宋" w:cs="Times New Roman"/>
          <w:b/>
          <w:sz w:val="24"/>
          <w:szCs w:val="24"/>
        </w:rPr>
        <w:t xml:space="preserve">5 </w:t>
      </w:r>
      <w:r>
        <w:rPr>
          <w:rFonts w:hint="eastAsia" w:ascii="仿宋" w:hAnsi="仿宋" w:eastAsia="仿宋" w:cs="Times New Roman"/>
          <w:b/>
          <w:sz w:val="24"/>
          <w:szCs w:val="24"/>
        </w:rPr>
        <w:t>药品质量保证承诺书</w:t>
      </w:r>
    </w:p>
    <w:p>
      <w:pPr>
        <w:spacing w:beforeLines="50" w:afterLines="50"/>
        <w:jc w:val="center"/>
        <w:rPr>
          <w:rFonts w:ascii="仿宋" w:hAnsi="仿宋" w:eastAsia="仿宋" w:cs="Times New Roman"/>
          <w:b/>
          <w:bCs/>
          <w:sz w:val="44"/>
          <w:szCs w:val="44"/>
        </w:rPr>
      </w:pPr>
      <w:r>
        <w:rPr>
          <w:rFonts w:hint="eastAsia" w:ascii="仿宋" w:hAnsi="仿宋" w:eastAsia="仿宋" w:cs="黑体"/>
          <w:b/>
          <w:bCs/>
          <w:sz w:val="44"/>
          <w:szCs w:val="44"/>
        </w:rPr>
        <w:t>药品质量保证承诺书</w:t>
      </w:r>
    </w:p>
    <w:p>
      <w:pPr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成都市</w:t>
      </w: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龙泉驿区中医医院</w:t>
      </w:r>
      <w:r>
        <w:rPr>
          <w:rFonts w:hint="eastAsia" w:ascii="仿宋" w:hAnsi="仿宋" w:eastAsia="仿宋" w:cs="Times New Roman"/>
          <w:b/>
          <w:sz w:val="28"/>
          <w:szCs w:val="28"/>
        </w:rPr>
        <w:t>：</w:t>
      </w:r>
    </w:p>
    <w:p>
      <w:pPr>
        <w:spacing w:line="360" w:lineRule="auto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为了加强药品质量管理，保证药品质量，维护消费者权益，根据《中华人民共和国药品管理法》、《中华人民共和国质量法》、《药品经营质量管理规范》等相关法律、法规的要求，企业特郑重承诺如下：</w:t>
      </w:r>
    </w:p>
    <w:p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企业必须具备《药品生产许可证》或《药品经营许可证》、《营业执照》、</w:t>
      </w:r>
      <w:r>
        <w:rPr>
          <w:rFonts w:ascii="仿宋" w:hAnsi="仿宋" w:eastAsia="仿宋" w:cs="宋体"/>
          <w:sz w:val="24"/>
          <w:szCs w:val="24"/>
        </w:rPr>
        <w:t>GMP</w:t>
      </w:r>
      <w:r>
        <w:rPr>
          <w:rFonts w:hint="eastAsia" w:ascii="仿宋" w:hAnsi="仿宋" w:eastAsia="仿宋" w:cs="宋体"/>
          <w:sz w:val="24"/>
          <w:szCs w:val="24"/>
        </w:rPr>
        <w:t>证书或</w:t>
      </w:r>
      <w:r>
        <w:rPr>
          <w:rFonts w:ascii="仿宋" w:hAnsi="仿宋" w:eastAsia="仿宋" w:cs="宋体"/>
          <w:sz w:val="24"/>
          <w:szCs w:val="24"/>
        </w:rPr>
        <w:t>GSP</w:t>
      </w:r>
      <w:r>
        <w:rPr>
          <w:rFonts w:hint="eastAsia" w:ascii="仿宋" w:hAnsi="仿宋" w:eastAsia="仿宋" w:cs="宋体"/>
          <w:sz w:val="24"/>
          <w:szCs w:val="24"/>
        </w:rPr>
        <w:t>证书并保证在规定的范围内经营。</w:t>
      </w:r>
    </w:p>
    <w:p>
      <w:pPr>
        <w:numPr>
          <w:ilvl w:val="0"/>
          <w:numId w:val="1"/>
        </w:numPr>
        <w:spacing w:line="360" w:lineRule="auto"/>
        <w:ind w:left="720" w:hanging="720" w:hangingChars="3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药品质量符合国家现行规定的质量标准和有关质量要求。</w:t>
      </w:r>
    </w:p>
    <w:p>
      <w:pPr>
        <w:numPr>
          <w:ilvl w:val="0"/>
          <w:numId w:val="1"/>
        </w:numPr>
        <w:spacing w:line="360" w:lineRule="auto"/>
        <w:ind w:left="720" w:hanging="720" w:hangingChars="3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进口药品由经营企业提供《进口药品检验报告书》和《进口药品注册证》，并加盖经营企业质量管理机构鲜章。</w:t>
      </w:r>
    </w:p>
    <w:p>
      <w:pPr>
        <w:numPr>
          <w:ilvl w:val="0"/>
          <w:numId w:val="1"/>
        </w:numPr>
        <w:spacing w:line="360" w:lineRule="auto"/>
        <w:ind w:left="720" w:hanging="720" w:hangingChars="3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药品整件包装箱内附产品合格证，每批药品均附同批号的《药品检验报告书》并加盖生产企业印章。</w:t>
      </w:r>
    </w:p>
    <w:p>
      <w:pPr>
        <w:numPr>
          <w:ilvl w:val="0"/>
          <w:numId w:val="1"/>
        </w:numPr>
        <w:spacing w:line="360" w:lineRule="auto"/>
        <w:ind w:left="720" w:hanging="720" w:hangingChars="3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保证药品的包装、标签及说明书符合有关规定。包装牢固，符合储存和运输要求。</w:t>
      </w:r>
    </w:p>
    <w:p>
      <w:pPr>
        <w:numPr>
          <w:ilvl w:val="0"/>
          <w:numId w:val="1"/>
        </w:numPr>
        <w:spacing w:line="360" w:lineRule="auto"/>
        <w:ind w:left="720" w:hanging="720" w:hangingChars="3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保证药品的储存及在途条件符合药品质量标准规定。</w:t>
      </w:r>
    </w:p>
    <w:p>
      <w:pPr>
        <w:numPr>
          <w:ilvl w:val="0"/>
          <w:numId w:val="1"/>
        </w:numPr>
        <w:spacing w:line="360" w:lineRule="auto"/>
        <w:ind w:left="720" w:hanging="720" w:hangingChars="3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发现药品有质量问题、数量短少、破损等，所造成的损失由企业全部承担。</w:t>
      </w:r>
    </w:p>
    <w:p>
      <w:pPr>
        <w:numPr>
          <w:ilvl w:val="0"/>
          <w:numId w:val="1"/>
        </w:numPr>
        <w:spacing w:line="360" w:lineRule="auto"/>
        <w:ind w:left="720" w:hanging="720" w:hangingChars="3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对近效期药品，企业销售人员应积极协商退、换货事宜。</w:t>
      </w:r>
    </w:p>
    <w:p>
      <w:pPr>
        <w:numPr>
          <w:ilvl w:val="0"/>
          <w:numId w:val="1"/>
        </w:numPr>
        <w:spacing w:line="360" w:lineRule="auto"/>
        <w:ind w:left="720" w:hanging="720" w:hangingChars="3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企业严格按照医院采购计划数量及时配送药品。</w:t>
      </w:r>
    </w:p>
    <w:p>
      <w:pPr>
        <w:numPr>
          <w:ilvl w:val="0"/>
          <w:numId w:val="1"/>
        </w:numPr>
        <w:spacing w:line="360" w:lineRule="auto"/>
        <w:ind w:left="720" w:hanging="720" w:hangingChars="3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紧急情况下，企业接到采购应急药品通知后，原则上4小时内将应急药品送达医院药库，并确保所供药品的质量合格。</w:t>
      </w:r>
    </w:p>
    <w:p>
      <w:pPr>
        <w:rPr>
          <w:rFonts w:ascii="仿宋" w:hAnsi="仿宋" w:eastAsia="仿宋" w:cs="Times New Roman"/>
          <w:szCs w:val="24"/>
        </w:rPr>
      </w:pPr>
      <w:bookmarkStart w:id="0" w:name="_GoBack"/>
      <w:bookmarkEnd w:id="0"/>
    </w:p>
    <w:p>
      <w:pPr>
        <w:rPr>
          <w:rFonts w:ascii="仿宋" w:hAnsi="仿宋" w:eastAsia="仿宋" w:cs="Times New Roman"/>
          <w:szCs w:val="24"/>
        </w:rPr>
      </w:pPr>
    </w:p>
    <w:p>
      <w:pPr>
        <w:ind w:left="315"/>
        <w:jc w:val="right"/>
        <w:rPr>
          <w:rFonts w:ascii="仿宋" w:hAnsi="仿宋" w:eastAsia="仿宋" w:cs="Times New Roman"/>
          <w:sz w:val="24"/>
          <w:szCs w:val="24"/>
        </w:rPr>
      </w:pPr>
    </w:p>
    <w:p>
      <w:pPr>
        <w:wordWrap w:val="0"/>
        <w:ind w:left="315" w:right="480"/>
        <w:jc w:val="center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宋体"/>
          <w:b/>
          <w:sz w:val="24"/>
          <w:szCs w:val="24"/>
        </w:rPr>
        <w:t>生产企业法定代表人（签章）</w:t>
      </w:r>
      <w:r>
        <w:rPr>
          <w:rFonts w:ascii="仿宋" w:hAnsi="仿宋" w:eastAsia="仿宋" w:cs="宋体"/>
          <w:b/>
          <w:sz w:val="24"/>
          <w:szCs w:val="24"/>
        </w:rPr>
        <w:t xml:space="preserve">             </w:t>
      </w:r>
      <w:r>
        <w:rPr>
          <w:rFonts w:hint="eastAsia" w:ascii="仿宋" w:hAnsi="仿宋" w:eastAsia="仿宋" w:cs="宋体"/>
          <w:b/>
          <w:sz w:val="24"/>
          <w:szCs w:val="24"/>
        </w:rPr>
        <w:t>申报企业名称（公章）</w:t>
      </w:r>
    </w:p>
    <w:p>
      <w:pPr>
        <w:ind w:left="315"/>
        <w:jc w:val="right"/>
        <w:rPr>
          <w:rFonts w:ascii="仿宋" w:hAnsi="仿宋" w:eastAsia="仿宋" w:cs="Times New Roman"/>
          <w:b/>
          <w:sz w:val="24"/>
          <w:szCs w:val="24"/>
        </w:rPr>
      </w:pPr>
    </w:p>
    <w:p>
      <w:pPr>
        <w:ind w:left="315"/>
        <w:jc w:val="right"/>
        <w:rPr>
          <w:rFonts w:ascii="仿宋" w:hAnsi="仿宋" w:eastAsia="仿宋" w:cs="Times New Roman"/>
          <w:b/>
          <w:sz w:val="24"/>
          <w:szCs w:val="24"/>
        </w:rPr>
      </w:pPr>
    </w:p>
    <w:p>
      <w:pPr>
        <w:ind w:right="480"/>
        <w:jc w:val="right"/>
        <w:rPr>
          <w:rFonts w:ascii="仿宋" w:hAnsi="仿宋" w:eastAsia="仿宋" w:cs="Times New Roman"/>
          <w:b/>
          <w:sz w:val="24"/>
          <w:szCs w:val="24"/>
        </w:rPr>
      </w:pPr>
      <w:r>
        <w:rPr>
          <w:rFonts w:ascii="仿宋" w:hAnsi="仿宋" w:eastAsia="仿宋" w:cs="Times New Roman"/>
          <w:b/>
          <w:sz w:val="24"/>
          <w:szCs w:val="24"/>
        </w:rPr>
        <w:t xml:space="preserve">  </w:t>
      </w:r>
    </w:p>
    <w:p>
      <w:pPr>
        <w:wordWrap w:val="0"/>
        <w:jc w:val="right"/>
        <w:rPr>
          <w:rFonts w:ascii="仿宋" w:hAnsi="仿宋" w:eastAsia="仿宋" w:cs="Times New Roman"/>
          <w:b/>
          <w:szCs w:val="24"/>
        </w:rPr>
      </w:pPr>
      <w:r>
        <w:rPr>
          <w:rFonts w:ascii="仿宋" w:hAnsi="仿宋" w:eastAsia="仿宋" w:cs="宋体"/>
          <w:b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b/>
          <w:sz w:val="24"/>
          <w:szCs w:val="24"/>
        </w:rPr>
        <w:t>年</w:t>
      </w:r>
      <w:r>
        <w:rPr>
          <w:rFonts w:ascii="仿宋" w:hAnsi="仿宋" w:eastAsia="仿宋" w:cs="宋体"/>
          <w:b/>
          <w:sz w:val="24"/>
          <w:szCs w:val="24"/>
        </w:rPr>
        <w:t xml:space="preserve">    </w:t>
      </w:r>
      <w:r>
        <w:rPr>
          <w:rFonts w:hint="eastAsia" w:ascii="仿宋" w:hAnsi="仿宋" w:eastAsia="仿宋" w:cs="宋体"/>
          <w:b/>
          <w:sz w:val="24"/>
          <w:szCs w:val="24"/>
        </w:rPr>
        <w:t>月</w:t>
      </w:r>
      <w:r>
        <w:rPr>
          <w:rFonts w:ascii="仿宋" w:hAnsi="仿宋" w:eastAsia="仿宋" w:cs="宋体"/>
          <w:b/>
          <w:sz w:val="24"/>
          <w:szCs w:val="24"/>
        </w:rPr>
        <w:t xml:space="preserve">    </w:t>
      </w:r>
      <w:r>
        <w:rPr>
          <w:rFonts w:hint="eastAsia" w:ascii="仿宋" w:hAnsi="仿宋" w:eastAsia="仿宋" w:cs="宋体"/>
          <w:b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F3E31"/>
    <w:multiLevelType w:val="multilevel"/>
    <w:tmpl w:val="1A7F3E31"/>
    <w:lvl w:ilvl="0" w:tentative="0">
      <w:start w:val="1"/>
      <w:numFmt w:val="japaneseCounting"/>
      <w:lvlText w:val="%1、"/>
      <w:lvlJc w:val="left"/>
      <w:pPr>
        <w:tabs>
          <w:tab w:val="left" w:pos="855"/>
        </w:tabs>
        <w:ind w:left="855" w:hanging="855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MGE2MDJiYWFjYmQ5NTAzMTMxMTQ2MjZmY2Y1OGEifQ=="/>
  </w:docVars>
  <w:rsids>
    <w:rsidRoot w:val="00EF09D6"/>
    <w:rsid w:val="0007243B"/>
    <w:rsid w:val="00CB05E7"/>
    <w:rsid w:val="00EB0290"/>
    <w:rsid w:val="00EF09D6"/>
    <w:rsid w:val="00FD3F48"/>
    <w:rsid w:val="33976645"/>
    <w:rsid w:val="4719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uiPriority w:val="99"/>
    <w:pPr>
      <w:jc w:val="left"/>
    </w:pPr>
    <w:rPr>
      <w:rFonts w:ascii="等线" w:hAnsi="等线" w:eastAsia="等线" w:cs="Times New Roman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semiHidden/>
    <w:unhideWhenUsed/>
    <w:uiPriority w:val="99"/>
    <w:rPr>
      <w:sz w:val="21"/>
      <w:szCs w:val="21"/>
    </w:rPr>
  </w:style>
  <w:style w:type="character" w:customStyle="1" w:styleId="9">
    <w:name w:val="批注文字 Char"/>
    <w:basedOn w:val="7"/>
    <w:link w:val="2"/>
    <w:semiHidden/>
    <w:qFormat/>
    <w:uiPriority w:val="99"/>
    <w:rPr>
      <w:rFonts w:ascii="等线" w:hAnsi="等线" w:eastAsia="等线" w:cs="Times New Roman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84</Words>
  <Characters>480</Characters>
  <Lines>4</Lines>
  <Paragraphs>1</Paragraphs>
  <TotalTime>2</TotalTime>
  <ScaleCrop>false</ScaleCrop>
  <LinksUpToDate>false</LinksUpToDate>
  <CharactersWithSpaces>563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2019-11-25T09:10:00Z</dcterms:created>
  <dc:creator>xmin</dc:creator>
  <cp:lastModifiedBy>阳娇</cp:lastModifiedBy>
  <dcterms:modified xsi:type="dcterms:W3CDTF">2023-11-06T03:41:40Z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476BF8CBEDF24BECB14B75202DE47EDC_13</vt:lpwstr>
  </property>
</Properties>
</file>