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bCs/>
          <w:sz w:val="44"/>
          <w:szCs w:val="44"/>
        </w:rPr>
      </w:pPr>
      <w:bookmarkStart w:id="0" w:name="_GoBack"/>
      <w:bookmarkEnd w:id="0"/>
      <w:r>
        <w:rPr>
          <w:rFonts w:hint="eastAsia" w:ascii="黑体" w:hAnsi="黑体" w:eastAsia="黑体"/>
          <w:b/>
          <w:bCs/>
          <w:sz w:val="44"/>
          <w:szCs w:val="44"/>
        </w:rPr>
        <w:t>成都市龙泉驿区双槐中学校</w:t>
      </w:r>
    </w:p>
    <w:p>
      <w:pPr>
        <w:spacing w:line="360" w:lineRule="auto"/>
        <w:jc w:val="center"/>
        <w:rPr>
          <w:rFonts w:ascii="黑体" w:hAnsi="黑体" w:eastAsia="黑体"/>
          <w:b/>
          <w:sz w:val="44"/>
          <w:szCs w:val="44"/>
        </w:rPr>
      </w:pPr>
      <w:r>
        <w:rPr>
          <w:rFonts w:hint="eastAsia" w:ascii="黑体" w:hAnsi="黑体" w:eastAsia="黑体"/>
          <w:b/>
          <w:bCs/>
          <w:sz w:val="44"/>
          <w:szCs w:val="44"/>
        </w:rPr>
        <w:t>中草药种植园建设项目</w:t>
      </w:r>
      <w:r>
        <w:rPr>
          <w:rFonts w:hint="eastAsia" w:ascii="黑体" w:hAnsi="黑体" w:eastAsia="黑体"/>
          <w:b/>
          <w:sz w:val="44"/>
          <w:szCs w:val="44"/>
        </w:rPr>
        <w:t>比选文件</w:t>
      </w:r>
    </w:p>
    <w:p>
      <w:pPr>
        <w:spacing w:line="360" w:lineRule="auto"/>
        <w:rPr>
          <w:rFonts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第一章 比选要求</w:t>
      </w:r>
    </w:p>
    <w:p>
      <w:pPr>
        <w:spacing w:line="360" w:lineRule="auto"/>
        <w:rPr>
          <w:rFonts w:asciiTheme="minorEastAsia" w:hAnsiTheme="minorEastAsia"/>
          <w:b/>
          <w:bCs/>
          <w:sz w:val="28"/>
          <w:szCs w:val="28"/>
        </w:rPr>
      </w:pPr>
      <w:r>
        <w:rPr>
          <w:rFonts w:hint="eastAsia" w:asciiTheme="minorEastAsia" w:hAnsiTheme="minorEastAsia"/>
          <w:b/>
          <w:bCs/>
          <w:sz w:val="28"/>
          <w:szCs w:val="28"/>
        </w:rPr>
        <w:t>一、项目概况</w:t>
      </w:r>
    </w:p>
    <w:p>
      <w:pPr>
        <w:spacing w:line="360" w:lineRule="auto"/>
        <w:rPr>
          <w:rFonts w:asciiTheme="minorEastAsia" w:hAnsiTheme="minorEastAsia"/>
          <w:sz w:val="28"/>
          <w:szCs w:val="28"/>
        </w:rPr>
      </w:pPr>
      <w:r>
        <w:rPr>
          <w:rFonts w:hint="eastAsia" w:asciiTheme="minorEastAsia" w:hAnsiTheme="minorEastAsia"/>
          <w:sz w:val="28"/>
          <w:szCs w:val="28"/>
        </w:rPr>
        <w:t>1、采购人成都市龙泉驿区中医医院通过比选方式确定供应商一名。</w:t>
      </w:r>
    </w:p>
    <w:p>
      <w:pPr>
        <w:spacing w:line="360" w:lineRule="auto"/>
        <w:rPr>
          <w:rFonts w:asciiTheme="minorEastAsia" w:hAnsiTheme="minorEastAsia"/>
          <w:sz w:val="28"/>
          <w:szCs w:val="28"/>
        </w:rPr>
      </w:pPr>
      <w:r>
        <w:rPr>
          <w:rFonts w:hint="eastAsia" w:asciiTheme="minorEastAsia" w:hAnsiTheme="minorEastAsia"/>
          <w:sz w:val="28"/>
          <w:szCs w:val="28"/>
        </w:rPr>
        <w:t>2、本项目建设期限：自合同签订之日起30天。</w:t>
      </w:r>
    </w:p>
    <w:p>
      <w:pPr>
        <w:spacing w:line="360" w:lineRule="auto"/>
        <w:rPr>
          <w:rFonts w:asciiTheme="minorEastAsia" w:hAnsiTheme="minorEastAsia"/>
          <w:sz w:val="28"/>
          <w:szCs w:val="28"/>
        </w:rPr>
      </w:pPr>
      <w:r>
        <w:rPr>
          <w:rFonts w:hint="eastAsia" w:asciiTheme="minorEastAsia" w:hAnsiTheme="minorEastAsia"/>
          <w:sz w:val="28"/>
          <w:szCs w:val="28"/>
        </w:rPr>
        <w:t>3、本项目费用最高限额：人民币4.98万元。</w:t>
      </w:r>
    </w:p>
    <w:p>
      <w:pPr>
        <w:spacing w:line="360" w:lineRule="auto"/>
        <w:rPr>
          <w:rFonts w:asciiTheme="minorEastAsia" w:hAnsiTheme="minorEastAsia"/>
          <w:sz w:val="28"/>
          <w:szCs w:val="28"/>
        </w:rPr>
      </w:pPr>
      <w:r>
        <w:rPr>
          <w:rFonts w:hint="eastAsia" w:asciiTheme="minorEastAsia" w:hAnsiTheme="minorEastAsia"/>
          <w:sz w:val="28"/>
          <w:szCs w:val="28"/>
        </w:rPr>
        <w:t>4、中选供应商与医院、学校签订三方协议。</w:t>
      </w:r>
    </w:p>
    <w:p>
      <w:pPr>
        <w:spacing w:line="360" w:lineRule="auto"/>
        <w:rPr>
          <w:rFonts w:asciiTheme="minorEastAsia" w:hAnsiTheme="minorEastAsia"/>
          <w:b/>
          <w:sz w:val="28"/>
          <w:szCs w:val="28"/>
        </w:rPr>
      </w:pPr>
      <w:r>
        <w:rPr>
          <w:rFonts w:hint="eastAsia" w:asciiTheme="minorEastAsia" w:hAnsiTheme="minorEastAsia"/>
          <w:b/>
          <w:sz w:val="28"/>
          <w:szCs w:val="28"/>
        </w:rPr>
        <w:t>二、比选报名</w:t>
      </w:r>
    </w:p>
    <w:p>
      <w:pPr>
        <w:spacing w:line="360" w:lineRule="auto"/>
        <w:rPr>
          <w:rFonts w:asciiTheme="minorEastAsia" w:hAnsiTheme="minorEastAsia"/>
          <w:b/>
          <w:sz w:val="28"/>
          <w:szCs w:val="28"/>
        </w:rPr>
      </w:pPr>
      <w:r>
        <w:rPr>
          <w:rFonts w:hint="eastAsia" w:asciiTheme="minorEastAsia" w:hAnsiTheme="minorEastAsia"/>
          <w:b/>
          <w:sz w:val="28"/>
          <w:szCs w:val="28"/>
        </w:rPr>
        <w:t>（一）供应商报名条件</w:t>
      </w:r>
    </w:p>
    <w:p>
      <w:pPr>
        <w:spacing w:line="360" w:lineRule="auto"/>
        <w:rPr>
          <w:rFonts w:asciiTheme="minorEastAsia" w:hAnsiTheme="minorEastAsia"/>
          <w:sz w:val="28"/>
          <w:szCs w:val="28"/>
        </w:rPr>
      </w:pPr>
      <w:r>
        <w:rPr>
          <w:rFonts w:hint="eastAsia" w:asciiTheme="minorEastAsia" w:hAnsiTheme="minorEastAsia"/>
          <w:sz w:val="28"/>
          <w:szCs w:val="28"/>
        </w:rPr>
        <w:t>1．符合《中华人民共和国政府采购法》第二十二条之规定，具体如下：</w:t>
      </w:r>
    </w:p>
    <w:p>
      <w:pPr>
        <w:spacing w:line="360" w:lineRule="auto"/>
        <w:rPr>
          <w:rFonts w:asciiTheme="minorEastAsia" w:hAnsiTheme="minorEastAsia"/>
          <w:sz w:val="28"/>
          <w:szCs w:val="28"/>
        </w:rPr>
      </w:pPr>
      <w:r>
        <w:rPr>
          <w:rFonts w:hint="eastAsia" w:asciiTheme="minorEastAsia" w:hAnsiTheme="minorEastAsia"/>
          <w:sz w:val="28"/>
          <w:szCs w:val="28"/>
        </w:rPr>
        <w:t>1.1 具有独立承担民事责任的能力；</w:t>
      </w:r>
    </w:p>
    <w:p>
      <w:pPr>
        <w:spacing w:line="360" w:lineRule="auto"/>
        <w:rPr>
          <w:rFonts w:asciiTheme="minorEastAsia" w:hAnsiTheme="minorEastAsia"/>
          <w:sz w:val="28"/>
          <w:szCs w:val="28"/>
        </w:rPr>
      </w:pPr>
      <w:r>
        <w:rPr>
          <w:rFonts w:hint="eastAsia" w:asciiTheme="minorEastAsia" w:hAnsiTheme="minorEastAsia"/>
          <w:sz w:val="28"/>
          <w:szCs w:val="28"/>
        </w:rPr>
        <w:t>1.2 具有良好的商业信誉和健全的财务会计制度；</w:t>
      </w:r>
    </w:p>
    <w:p>
      <w:pPr>
        <w:spacing w:line="360" w:lineRule="auto"/>
        <w:rPr>
          <w:rFonts w:asciiTheme="minorEastAsia" w:hAnsiTheme="minorEastAsia"/>
          <w:sz w:val="28"/>
          <w:szCs w:val="28"/>
        </w:rPr>
      </w:pPr>
      <w:r>
        <w:rPr>
          <w:rFonts w:hint="eastAsia" w:asciiTheme="minorEastAsia" w:hAnsiTheme="minorEastAsia"/>
          <w:sz w:val="28"/>
          <w:szCs w:val="28"/>
        </w:rPr>
        <w:t>1.3 具有履行合同所必需的设备和专业技术能力；</w:t>
      </w:r>
    </w:p>
    <w:p>
      <w:pPr>
        <w:spacing w:line="360" w:lineRule="auto"/>
        <w:rPr>
          <w:rFonts w:asciiTheme="minorEastAsia" w:hAnsiTheme="minorEastAsia"/>
          <w:sz w:val="28"/>
          <w:szCs w:val="28"/>
        </w:rPr>
      </w:pPr>
      <w:r>
        <w:rPr>
          <w:rFonts w:hint="eastAsia" w:asciiTheme="minorEastAsia" w:hAnsiTheme="minorEastAsia"/>
          <w:sz w:val="28"/>
          <w:szCs w:val="28"/>
        </w:rPr>
        <w:t>1.4 有依法缴纳税收和社会保障资金的良好记录；</w:t>
      </w:r>
    </w:p>
    <w:p>
      <w:pPr>
        <w:spacing w:line="360" w:lineRule="auto"/>
        <w:rPr>
          <w:rFonts w:asciiTheme="minorEastAsia" w:hAnsiTheme="minorEastAsia"/>
          <w:sz w:val="28"/>
          <w:szCs w:val="28"/>
        </w:rPr>
      </w:pPr>
      <w:r>
        <w:rPr>
          <w:rFonts w:hint="eastAsia" w:asciiTheme="minorEastAsia" w:hAnsiTheme="minorEastAsia"/>
          <w:sz w:val="28"/>
          <w:szCs w:val="28"/>
        </w:rPr>
        <w:t>1.5 参加政府采购活动前三年内，在经营活动中没有重大违法记录；</w:t>
      </w:r>
    </w:p>
    <w:p>
      <w:pPr>
        <w:spacing w:line="360" w:lineRule="auto"/>
        <w:rPr>
          <w:rFonts w:asciiTheme="minorEastAsia" w:hAnsiTheme="minorEastAsia"/>
          <w:sz w:val="28"/>
          <w:szCs w:val="28"/>
        </w:rPr>
      </w:pPr>
      <w:r>
        <w:rPr>
          <w:rFonts w:hint="eastAsia" w:asciiTheme="minorEastAsia" w:hAnsiTheme="minorEastAsia"/>
          <w:sz w:val="28"/>
          <w:szCs w:val="28"/>
        </w:rPr>
        <w:t>1.6 法律、行政法规规定的其他条件。</w:t>
      </w:r>
    </w:p>
    <w:p>
      <w:pPr>
        <w:spacing w:line="360" w:lineRule="auto"/>
        <w:rPr>
          <w:rFonts w:asciiTheme="minorEastAsia" w:hAnsiTheme="minorEastAsia"/>
          <w:sz w:val="28"/>
          <w:szCs w:val="28"/>
        </w:rPr>
      </w:pPr>
      <w:r>
        <w:rPr>
          <w:rFonts w:hint="eastAsia" w:asciiTheme="minorEastAsia" w:hAnsiTheme="minorEastAsia"/>
          <w:sz w:val="28"/>
          <w:szCs w:val="28"/>
        </w:rPr>
        <w:t>2．供应商与其他供应商之间、采购人单位负责人（或法定代表人）不为同一人而且不存在直接控股、管理关系（提供承诺函）。</w:t>
      </w:r>
    </w:p>
    <w:p>
      <w:pPr>
        <w:spacing w:line="360" w:lineRule="auto"/>
        <w:rPr>
          <w:rFonts w:asciiTheme="minorEastAsia" w:hAnsiTheme="minorEastAsia"/>
          <w:sz w:val="28"/>
          <w:szCs w:val="28"/>
        </w:rPr>
      </w:pPr>
      <w:r>
        <w:rPr>
          <w:rFonts w:hint="eastAsia" w:asciiTheme="minorEastAsia" w:hAnsiTheme="minorEastAsia"/>
          <w:sz w:val="28"/>
          <w:szCs w:val="28"/>
        </w:rPr>
        <w:t>3．供应商对是否存在受到财政部门或有关部门认定的失信行为（有效期内）以及认定次数进行承诺（提供承诺函）。</w:t>
      </w:r>
    </w:p>
    <w:p>
      <w:pPr>
        <w:spacing w:line="360" w:lineRule="auto"/>
        <w:rPr>
          <w:rFonts w:asciiTheme="minorEastAsia" w:hAnsiTheme="minorEastAsia"/>
          <w:sz w:val="28"/>
          <w:szCs w:val="28"/>
        </w:rPr>
      </w:pPr>
      <w:r>
        <w:rPr>
          <w:rFonts w:hint="eastAsia" w:asciiTheme="minorEastAsia" w:hAnsiTheme="minorEastAsia"/>
          <w:sz w:val="28"/>
          <w:szCs w:val="28"/>
        </w:rPr>
        <w:t>4．本项目不接受联合体参加比选。</w:t>
      </w:r>
    </w:p>
    <w:p>
      <w:pPr>
        <w:spacing w:line="360" w:lineRule="auto"/>
        <w:rPr>
          <w:rFonts w:asciiTheme="minorEastAsia" w:hAnsiTheme="minorEastAsia"/>
          <w:sz w:val="28"/>
          <w:szCs w:val="28"/>
        </w:rPr>
      </w:pPr>
      <w:r>
        <w:rPr>
          <w:rFonts w:hint="eastAsia" w:asciiTheme="minorEastAsia" w:hAnsiTheme="minorEastAsia"/>
          <w:sz w:val="28"/>
          <w:szCs w:val="28"/>
        </w:rPr>
        <w:t>5．本项目特定要求：</w:t>
      </w:r>
    </w:p>
    <w:p>
      <w:pPr>
        <w:spacing w:line="360" w:lineRule="auto"/>
        <w:rPr>
          <w:rFonts w:asciiTheme="minorEastAsia" w:hAnsiTheme="minorEastAsia"/>
          <w:sz w:val="28"/>
          <w:szCs w:val="28"/>
        </w:rPr>
      </w:pPr>
      <w:r>
        <w:rPr>
          <w:rFonts w:hint="eastAsia" w:asciiTheme="minorEastAsia" w:hAnsiTheme="minorEastAsia"/>
          <w:sz w:val="28"/>
          <w:szCs w:val="28"/>
        </w:rPr>
        <w:t>（1）项目经理无犯罪记录，个人征信正常。（提供承诺函）</w:t>
      </w:r>
    </w:p>
    <w:p>
      <w:pPr>
        <w:spacing w:line="360" w:lineRule="auto"/>
        <w:rPr>
          <w:rFonts w:asciiTheme="minorEastAsia" w:hAnsiTheme="minorEastAsia"/>
          <w:sz w:val="28"/>
          <w:szCs w:val="28"/>
        </w:rPr>
      </w:pPr>
      <w:r>
        <w:rPr>
          <w:rFonts w:hint="eastAsia" w:asciiTheme="minorEastAsia" w:hAnsiTheme="minorEastAsia"/>
          <w:b/>
          <w:sz w:val="28"/>
          <w:szCs w:val="28"/>
        </w:rPr>
        <w:t>（二）报名要求</w:t>
      </w:r>
      <w:r>
        <w:rPr>
          <w:rFonts w:hint="eastAsia" w:asciiTheme="minorEastAsia" w:hAnsiTheme="minorEastAsia"/>
          <w:sz w:val="28"/>
          <w:szCs w:val="28"/>
        </w:rPr>
        <w:t>：通过电子邮件报名并领取比选文件。</w:t>
      </w:r>
    </w:p>
    <w:p>
      <w:pPr>
        <w:spacing w:line="360" w:lineRule="auto"/>
        <w:rPr>
          <w:rFonts w:asciiTheme="minorEastAsia" w:hAnsiTheme="minorEastAsia"/>
          <w:b/>
          <w:sz w:val="28"/>
          <w:szCs w:val="28"/>
        </w:rPr>
      </w:pPr>
      <w:r>
        <w:rPr>
          <w:rFonts w:hint="eastAsia" w:asciiTheme="minorEastAsia" w:hAnsiTheme="minorEastAsia"/>
          <w:b/>
          <w:sz w:val="28"/>
          <w:szCs w:val="28"/>
        </w:rPr>
        <w:t>三、比选文件领取方式</w:t>
      </w:r>
    </w:p>
    <w:p>
      <w:pPr>
        <w:spacing w:line="360" w:lineRule="auto"/>
        <w:rPr>
          <w:rFonts w:asciiTheme="minorEastAsia" w:hAnsiTheme="minorEastAsia"/>
          <w:sz w:val="28"/>
          <w:szCs w:val="28"/>
        </w:rPr>
      </w:pPr>
      <w:r>
        <w:rPr>
          <w:rFonts w:hint="eastAsia" w:asciiTheme="minorEastAsia" w:hAnsiTheme="minorEastAsia"/>
          <w:sz w:val="28"/>
          <w:szCs w:val="28"/>
        </w:rPr>
        <w:t>通过医院官网下载比选文件。</w:t>
      </w:r>
    </w:p>
    <w:p>
      <w:pPr>
        <w:spacing w:line="360" w:lineRule="auto"/>
        <w:rPr>
          <w:rFonts w:ascii="宋体" w:hAnsi="宋体" w:eastAsia="宋体" w:cs="宋体"/>
          <w:b/>
          <w:sz w:val="28"/>
          <w:szCs w:val="28"/>
        </w:rPr>
      </w:pPr>
      <w:r>
        <w:rPr>
          <w:rFonts w:hint="eastAsia" w:ascii="宋体" w:hAnsi="宋体" w:eastAsia="宋体" w:cs="宋体"/>
          <w:b/>
          <w:sz w:val="28"/>
          <w:szCs w:val="28"/>
        </w:rPr>
        <w:t>四、响应文件接收时间和地点</w:t>
      </w:r>
    </w:p>
    <w:p>
      <w:pPr>
        <w:spacing w:line="360" w:lineRule="auto"/>
        <w:rPr>
          <w:rFonts w:ascii="宋体" w:hAnsi="宋体" w:eastAsia="宋体" w:cs="宋体"/>
          <w:sz w:val="28"/>
          <w:szCs w:val="28"/>
        </w:rPr>
      </w:pPr>
      <w:r>
        <w:rPr>
          <w:rFonts w:hint="eastAsia" w:ascii="宋体" w:hAnsi="宋体" w:eastAsia="宋体" w:cs="宋体"/>
          <w:sz w:val="28"/>
          <w:szCs w:val="28"/>
        </w:rPr>
        <w:t>文件递交时间：2023年8月14日14:00-14:30</w:t>
      </w:r>
    </w:p>
    <w:p>
      <w:pPr>
        <w:spacing w:line="360" w:lineRule="auto"/>
        <w:rPr>
          <w:rFonts w:ascii="宋体" w:hAnsi="宋体" w:eastAsia="宋体" w:cs="宋体"/>
          <w:sz w:val="28"/>
          <w:szCs w:val="28"/>
        </w:rPr>
      </w:pPr>
      <w:r>
        <w:rPr>
          <w:rFonts w:hint="eastAsia" w:ascii="宋体" w:hAnsi="宋体" w:eastAsia="宋体" w:cs="宋体"/>
          <w:sz w:val="28"/>
          <w:szCs w:val="28"/>
        </w:rPr>
        <w:t>文件接收地点：成都市龙泉驿区青台山路222号</w:t>
      </w:r>
    </w:p>
    <w:p>
      <w:pPr>
        <w:spacing w:line="360" w:lineRule="auto"/>
        <w:ind w:left="1984" w:leftChars="945"/>
        <w:rPr>
          <w:rFonts w:ascii="宋体" w:hAnsi="宋体" w:eastAsia="宋体" w:cs="宋体"/>
          <w:sz w:val="28"/>
          <w:szCs w:val="28"/>
        </w:rPr>
      </w:pPr>
      <w:r>
        <w:rPr>
          <w:rFonts w:hint="eastAsia" w:ascii="宋体" w:hAnsi="宋体" w:eastAsia="宋体" w:cs="宋体"/>
          <w:sz w:val="28"/>
          <w:szCs w:val="28"/>
        </w:rPr>
        <w:t>成都市龙泉驿区中医医院门诊5楼采购科</w:t>
      </w:r>
    </w:p>
    <w:p>
      <w:pPr>
        <w:spacing w:line="360" w:lineRule="auto"/>
        <w:rPr>
          <w:rFonts w:ascii="宋体" w:hAnsi="宋体" w:eastAsia="宋体" w:cs="宋体"/>
          <w:sz w:val="28"/>
          <w:szCs w:val="28"/>
        </w:rPr>
      </w:pPr>
      <w:r>
        <w:rPr>
          <w:rFonts w:hint="eastAsia" w:ascii="宋体" w:hAnsi="宋体" w:eastAsia="宋体" w:cs="宋体"/>
          <w:sz w:val="28"/>
          <w:szCs w:val="28"/>
        </w:rPr>
        <w:t>联系人：董老师</w:t>
      </w:r>
    </w:p>
    <w:p>
      <w:pPr>
        <w:spacing w:line="360" w:lineRule="auto"/>
        <w:rPr>
          <w:rFonts w:asciiTheme="minorEastAsia" w:hAnsiTheme="minorEastAsia"/>
          <w:sz w:val="28"/>
          <w:szCs w:val="28"/>
        </w:rPr>
      </w:pPr>
      <w:r>
        <w:rPr>
          <w:rFonts w:hint="eastAsia" w:ascii="宋体" w:hAnsi="宋体" w:eastAsia="宋体" w:cs="宋体"/>
          <w:sz w:val="28"/>
          <w:szCs w:val="28"/>
        </w:rPr>
        <w:t>联系方式：028-60659207</w:t>
      </w:r>
    </w:p>
    <w:p>
      <w:pPr>
        <w:spacing w:line="360" w:lineRule="auto"/>
        <w:rPr>
          <w:rFonts w:asciiTheme="minorEastAsia" w:hAnsiTheme="minorEastAsia"/>
          <w:b/>
          <w:sz w:val="28"/>
          <w:szCs w:val="28"/>
        </w:rPr>
      </w:pPr>
      <w:r>
        <w:rPr>
          <w:rFonts w:hint="eastAsia" w:asciiTheme="minorEastAsia" w:hAnsiTheme="minorEastAsia"/>
          <w:b/>
          <w:sz w:val="28"/>
          <w:szCs w:val="28"/>
        </w:rPr>
        <w:t>五、比选时间、地点及方式</w:t>
      </w:r>
    </w:p>
    <w:p>
      <w:pPr>
        <w:spacing w:line="360" w:lineRule="auto"/>
        <w:rPr>
          <w:rFonts w:asciiTheme="minorEastAsia" w:hAnsiTheme="minorEastAsia"/>
          <w:sz w:val="28"/>
          <w:szCs w:val="28"/>
        </w:rPr>
      </w:pPr>
      <w:r>
        <w:rPr>
          <w:rFonts w:hint="eastAsia" w:asciiTheme="minorEastAsia" w:hAnsiTheme="minorEastAsia"/>
          <w:sz w:val="28"/>
          <w:szCs w:val="28"/>
        </w:rPr>
        <w:t>比选时间：2023年8月14日下午</w:t>
      </w:r>
    </w:p>
    <w:p>
      <w:pPr>
        <w:spacing w:line="360" w:lineRule="auto"/>
        <w:rPr>
          <w:rFonts w:asciiTheme="minorEastAsia" w:hAnsiTheme="minorEastAsia"/>
          <w:sz w:val="28"/>
          <w:szCs w:val="28"/>
        </w:rPr>
      </w:pPr>
      <w:r>
        <w:rPr>
          <w:rFonts w:hint="eastAsia" w:asciiTheme="minorEastAsia" w:hAnsiTheme="minorEastAsia"/>
          <w:sz w:val="28"/>
          <w:szCs w:val="28"/>
        </w:rPr>
        <w:t>比选地点：成都市龙泉驿区中医医院会议室</w:t>
      </w:r>
    </w:p>
    <w:p>
      <w:pPr>
        <w:spacing w:line="360" w:lineRule="auto"/>
        <w:rPr>
          <w:rFonts w:asciiTheme="minorEastAsia" w:hAnsiTheme="minorEastAsia"/>
          <w:sz w:val="28"/>
          <w:szCs w:val="28"/>
        </w:rPr>
      </w:pPr>
      <w:r>
        <w:rPr>
          <w:rFonts w:hint="eastAsia" w:asciiTheme="minorEastAsia" w:hAnsiTheme="minorEastAsia"/>
          <w:sz w:val="28"/>
          <w:szCs w:val="28"/>
        </w:rPr>
        <w:t>比选方式：综合评分法</w:t>
      </w:r>
    </w:p>
    <w:p>
      <w:pPr>
        <w:widowControl/>
        <w:jc w:val="left"/>
        <w:rPr>
          <w:rFonts w:asciiTheme="minorEastAsia" w:hAnsiTheme="minorEastAsia"/>
          <w:b/>
          <w:sz w:val="28"/>
          <w:szCs w:val="28"/>
        </w:rPr>
      </w:pPr>
      <w:r>
        <w:rPr>
          <w:rFonts w:asciiTheme="minorEastAsia" w:hAnsiTheme="minorEastAsia"/>
          <w:b/>
          <w:sz w:val="28"/>
          <w:szCs w:val="28"/>
        </w:rPr>
        <w:br w:type="page"/>
      </w:r>
    </w:p>
    <w:p>
      <w:pPr>
        <w:spacing w:line="360" w:lineRule="auto"/>
        <w:jc w:val="center"/>
        <w:rPr>
          <w:rFonts w:asciiTheme="minorEastAsia" w:hAnsiTheme="minorEastAsia"/>
          <w:b/>
          <w:sz w:val="28"/>
          <w:szCs w:val="28"/>
        </w:rPr>
      </w:pPr>
      <w:r>
        <w:rPr>
          <w:rFonts w:hint="eastAsia" w:asciiTheme="minorEastAsia" w:hAnsiTheme="minorEastAsia"/>
          <w:b/>
          <w:sz w:val="28"/>
          <w:szCs w:val="28"/>
        </w:rPr>
        <w:t>第二章 供应商服务内容和要求</w:t>
      </w:r>
    </w:p>
    <w:p>
      <w:pPr>
        <w:spacing w:line="360" w:lineRule="auto"/>
        <w:rPr>
          <w:rFonts w:asciiTheme="minorEastAsia" w:hAnsiTheme="minorEastAsia"/>
          <w:bCs/>
          <w:sz w:val="28"/>
          <w:szCs w:val="28"/>
        </w:rPr>
      </w:pPr>
      <w:r>
        <w:rPr>
          <w:rFonts w:hint="eastAsia" w:asciiTheme="minorEastAsia" w:hAnsiTheme="minorEastAsia"/>
          <w:bCs/>
          <w:sz w:val="28"/>
          <w:szCs w:val="28"/>
        </w:rPr>
        <w:t>一、 项目技术服务要求（实质性要求）</w:t>
      </w:r>
    </w:p>
    <w:tbl>
      <w:tblPr>
        <w:tblStyle w:val="4"/>
        <w:tblW w:w="9638" w:type="dxa"/>
        <w:jc w:val="center"/>
        <w:tblLayout w:type="autofit"/>
        <w:tblCellMar>
          <w:top w:w="0" w:type="dxa"/>
          <w:left w:w="108" w:type="dxa"/>
          <w:bottom w:w="0" w:type="dxa"/>
          <w:right w:w="108" w:type="dxa"/>
        </w:tblCellMar>
      </w:tblPr>
      <w:tblGrid>
        <w:gridCol w:w="753"/>
        <w:gridCol w:w="2090"/>
        <w:gridCol w:w="4436"/>
        <w:gridCol w:w="958"/>
        <w:gridCol w:w="1401"/>
      </w:tblGrid>
      <w:tr>
        <w:tblPrEx>
          <w:tblCellMar>
            <w:top w:w="0" w:type="dxa"/>
            <w:left w:w="108" w:type="dxa"/>
            <w:bottom w:w="0" w:type="dxa"/>
            <w:right w:w="108" w:type="dxa"/>
          </w:tblCellMar>
        </w:tblPrEx>
        <w:trPr>
          <w:trHeight w:val="360" w:hRule="atLeast"/>
          <w:jc w:val="center"/>
        </w:trPr>
        <w:tc>
          <w:tcPr>
            <w:tcW w:w="10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二楼种植园</w:t>
            </w:r>
          </w:p>
        </w:tc>
      </w:tr>
      <w:tr>
        <w:tblPrEx>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项目名称</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特征描述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数量</w:t>
            </w:r>
          </w:p>
        </w:tc>
      </w:tr>
      <w:tr>
        <w:tblPrEx>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人工除草</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人工除草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1.00 </w:t>
            </w:r>
          </w:p>
        </w:tc>
      </w:tr>
      <w:tr>
        <w:tblPrEx>
          <w:tblCellMar>
            <w:top w:w="0" w:type="dxa"/>
            <w:left w:w="108" w:type="dxa"/>
            <w:bottom w:w="0" w:type="dxa"/>
            <w:right w:w="108" w:type="dxa"/>
          </w:tblCellMar>
        </w:tblPrEx>
        <w:trPr>
          <w:trHeight w:val="85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防腐木栅栏翻新</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1.构件拆除：防腐松木</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2.构件安装：埋地</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3.刷防护材料：防腐木油滚刷2遍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1.00 </w:t>
            </w:r>
          </w:p>
        </w:tc>
      </w:tr>
      <w:tr>
        <w:tblPrEx>
          <w:tblCellMar>
            <w:top w:w="0" w:type="dxa"/>
            <w:left w:w="108" w:type="dxa"/>
            <w:bottom w:w="0" w:type="dxa"/>
            <w:right w:w="108" w:type="dxa"/>
          </w:tblCellMar>
        </w:tblPrEx>
        <w:trPr>
          <w:trHeight w:val="360" w:hRule="atLeast"/>
          <w:jc w:val="center"/>
        </w:trPr>
        <w:tc>
          <w:tcPr>
            <w:tcW w:w="10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操场种植区</w:t>
            </w:r>
          </w:p>
        </w:tc>
      </w:tr>
      <w:tr>
        <w:tblPrEx>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项目名称</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特征描述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数量</w:t>
            </w:r>
          </w:p>
        </w:tc>
      </w:tr>
      <w:tr>
        <w:tblPrEx>
          <w:tblCellMar>
            <w:top w:w="0" w:type="dxa"/>
            <w:left w:w="108" w:type="dxa"/>
            <w:bottom w:w="0" w:type="dxa"/>
            <w:right w:w="108" w:type="dxa"/>
          </w:tblCellMar>
        </w:tblPrEx>
        <w:trPr>
          <w:trHeight w:val="85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定制防腐木栅栏</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1.构件制作：防腐松木</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2.构件安装：埋地砼基础</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3.刷防护材料：防腐木油滚刷2遍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m</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24.67 </w:t>
            </w:r>
          </w:p>
        </w:tc>
      </w:tr>
      <w:tr>
        <w:tblPrEx>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人工除草</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人工除草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1.00 </w:t>
            </w:r>
          </w:p>
        </w:tc>
      </w:tr>
      <w:tr>
        <w:tblPrEx>
          <w:tblCellMar>
            <w:top w:w="0" w:type="dxa"/>
            <w:left w:w="108" w:type="dxa"/>
            <w:bottom w:w="0" w:type="dxa"/>
            <w:right w:w="108" w:type="dxa"/>
          </w:tblCellMar>
        </w:tblPrEx>
        <w:trPr>
          <w:trHeight w:val="114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定制药材名称牌</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1.立柱类型：30*30*2mm镀锌钢矩管</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2.固定方式：沉头螺丝</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3.板材类型：9mmpvc雕刻艺术造型+UV打印</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4.涂料种类：汽车清漆2遍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2.00 </w:t>
            </w:r>
          </w:p>
        </w:tc>
      </w:tr>
      <w:tr>
        <w:tblPrEx>
          <w:tblCellMar>
            <w:top w:w="0" w:type="dxa"/>
            <w:left w:w="108" w:type="dxa"/>
            <w:bottom w:w="0" w:type="dxa"/>
            <w:right w:w="108" w:type="dxa"/>
          </w:tblCellMar>
        </w:tblPrEx>
        <w:trPr>
          <w:trHeight w:val="360" w:hRule="atLeast"/>
          <w:jc w:val="center"/>
        </w:trPr>
        <w:tc>
          <w:tcPr>
            <w:tcW w:w="10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中医药园地</w:t>
            </w:r>
          </w:p>
        </w:tc>
      </w:tr>
      <w:tr>
        <w:tblPrEx>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项目名称</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特征描述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数量</w:t>
            </w:r>
          </w:p>
        </w:tc>
      </w:tr>
      <w:tr>
        <w:tblPrEx>
          <w:tblCellMar>
            <w:top w:w="0" w:type="dxa"/>
            <w:left w:w="108" w:type="dxa"/>
            <w:bottom w:w="0" w:type="dxa"/>
            <w:right w:w="108" w:type="dxa"/>
          </w:tblCellMar>
        </w:tblPrEx>
        <w:trPr>
          <w:trHeight w:val="171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定制中医药种植园艺术景观字</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1.龙骨类型：40*60*2mm镀锌矩管</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2.焊接方式及材料：J422电焊+氩弧焊</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3.基层种类：1.5mm201#不锈钢板激光切割</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4.找平材料：原子灰</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5.涂料类型：汽车漆2底3面</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6.尺寸：2400*1000*650mm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1.00 </w:t>
            </w:r>
          </w:p>
        </w:tc>
      </w:tr>
      <w:tr>
        <w:tblPrEx>
          <w:tblCellMar>
            <w:top w:w="0" w:type="dxa"/>
            <w:left w:w="108" w:type="dxa"/>
            <w:bottom w:w="0" w:type="dxa"/>
            <w:right w:w="108" w:type="dxa"/>
          </w:tblCellMar>
        </w:tblPrEx>
        <w:trPr>
          <w:trHeight w:val="85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定制防腐木栅栏</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1.构件制作：防腐松木</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2.构件安装：埋地砼基础</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3.刷防护材料：防腐木油滚刷2遍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m</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153.00 </w:t>
            </w:r>
          </w:p>
        </w:tc>
      </w:tr>
      <w:tr>
        <w:tblPrEx>
          <w:tblCellMar>
            <w:top w:w="0" w:type="dxa"/>
            <w:left w:w="108" w:type="dxa"/>
            <w:bottom w:w="0" w:type="dxa"/>
            <w:right w:w="108" w:type="dxa"/>
          </w:tblCellMar>
        </w:tblPrEx>
        <w:trPr>
          <w:trHeight w:val="57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花镜植物种植</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1.花镜植物种植</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2.人工种植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3.60 </w:t>
            </w:r>
          </w:p>
        </w:tc>
      </w:tr>
      <w:tr>
        <w:tblPrEx>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人工除草</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人工除草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1.00 </w:t>
            </w:r>
          </w:p>
        </w:tc>
      </w:tr>
      <w:tr>
        <w:tblPrEx>
          <w:tblCellMar>
            <w:top w:w="0" w:type="dxa"/>
            <w:left w:w="108" w:type="dxa"/>
            <w:bottom w:w="0" w:type="dxa"/>
            <w:right w:w="108" w:type="dxa"/>
          </w:tblCellMar>
        </w:tblPrEx>
        <w:trPr>
          <w:trHeight w:val="142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青石板踏板</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1.石材种类：青石</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2.块料尺寸：400*800*50mm</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3.粘接层材料及厚度：15mm1:2水泥砂浆</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4.勾缝类型：粗砂</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5.C25砼垫层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 xml:space="preserve">13.44 </w:t>
            </w:r>
          </w:p>
        </w:tc>
      </w:tr>
    </w:tbl>
    <w:p>
      <w:pPr>
        <w:spacing w:line="460" w:lineRule="exact"/>
        <w:rPr>
          <w:rFonts w:asciiTheme="minorEastAsia" w:hAnsiTheme="minorEastAsia"/>
          <w:bCs/>
          <w:sz w:val="28"/>
          <w:szCs w:val="28"/>
        </w:rPr>
      </w:pPr>
    </w:p>
    <w:p>
      <w:pPr>
        <w:spacing w:line="360" w:lineRule="auto"/>
        <w:rPr>
          <w:rFonts w:asciiTheme="minorEastAsia" w:hAnsiTheme="minorEastAsia"/>
          <w:bCs/>
          <w:sz w:val="28"/>
          <w:szCs w:val="28"/>
        </w:rPr>
      </w:pPr>
      <w:r>
        <w:rPr>
          <w:rFonts w:hint="eastAsia" w:asciiTheme="minorEastAsia" w:hAnsiTheme="minorEastAsia"/>
          <w:bCs/>
          <w:sz w:val="28"/>
          <w:szCs w:val="28"/>
        </w:rPr>
        <w:t>二、商务及服务要求（实质性要求）</w:t>
      </w:r>
    </w:p>
    <w:p>
      <w:pPr>
        <w:spacing w:line="360" w:lineRule="auto"/>
        <w:rPr>
          <w:rFonts w:asciiTheme="minorEastAsia" w:hAnsiTheme="minorEastAsia"/>
          <w:bCs/>
          <w:sz w:val="28"/>
          <w:szCs w:val="28"/>
        </w:rPr>
      </w:pPr>
      <w:r>
        <w:rPr>
          <w:rFonts w:hint="eastAsia" w:asciiTheme="minorEastAsia" w:hAnsiTheme="minorEastAsia"/>
          <w:bCs/>
          <w:sz w:val="28"/>
          <w:szCs w:val="28"/>
        </w:rPr>
        <w:t>（一）建设期限：合同签订后30天内。</w:t>
      </w:r>
    </w:p>
    <w:p>
      <w:pPr>
        <w:spacing w:line="360" w:lineRule="auto"/>
        <w:rPr>
          <w:rFonts w:asciiTheme="minorEastAsia" w:hAnsiTheme="minorEastAsia"/>
          <w:bCs/>
          <w:sz w:val="28"/>
          <w:szCs w:val="28"/>
        </w:rPr>
      </w:pPr>
      <w:r>
        <w:rPr>
          <w:rFonts w:hint="eastAsia" w:asciiTheme="minorEastAsia" w:hAnsiTheme="minorEastAsia"/>
          <w:bCs/>
          <w:sz w:val="28"/>
          <w:szCs w:val="28"/>
        </w:rPr>
        <w:t>（二）建设地点：</w:t>
      </w:r>
      <w:r>
        <w:rPr>
          <w:rFonts w:hint="eastAsia" w:asciiTheme="minorEastAsia" w:hAnsiTheme="minorEastAsia"/>
          <w:sz w:val="28"/>
          <w:szCs w:val="28"/>
        </w:rPr>
        <w:t>成都市龙泉驿区双槐中学校</w:t>
      </w:r>
      <w:r>
        <w:rPr>
          <w:rFonts w:hint="eastAsia" w:asciiTheme="minorEastAsia" w:hAnsiTheme="minorEastAsia"/>
          <w:bCs/>
          <w:sz w:val="28"/>
          <w:szCs w:val="28"/>
        </w:rPr>
        <w:t>。</w:t>
      </w:r>
    </w:p>
    <w:p>
      <w:pPr>
        <w:spacing w:line="360" w:lineRule="auto"/>
        <w:rPr>
          <w:rFonts w:asciiTheme="minorEastAsia" w:hAnsiTheme="minorEastAsia"/>
          <w:bCs/>
          <w:sz w:val="28"/>
          <w:szCs w:val="28"/>
        </w:rPr>
      </w:pPr>
      <w:r>
        <w:rPr>
          <w:rFonts w:hint="eastAsia" w:asciiTheme="minorEastAsia" w:hAnsiTheme="minorEastAsia"/>
          <w:bCs/>
          <w:sz w:val="28"/>
          <w:szCs w:val="28"/>
        </w:rPr>
        <w:t>（三）付款方式：验收合格后30日内支付。</w:t>
      </w:r>
    </w:p>
    <w:p>
      <w:pPr>
        <w:spacing w:line="360" w:lineRule="auto"/>
        <w:rPr>
          <w:rFonts w:asciiTheme="minorEastAsia" w:hAnsiTheme="minorEastAsia"/>
          <w:bCs/>
          <w:sz w:val="28"/>
          <w:szCs w:val="28"/>
        </w:rPr>
      </w:pPr>
      <w:r>
        <w:rPr>
          <w:rFonts w:hint="eastAsia" w:asciiTheme="minorEastAsia" w:hAnsiTheme="minorEastAsia"/>
          <w:bCs/>
          <w:sz w:val="28"/>
          <w:szCs w:val="28"/>
        </w:rPr>
        <w:t>（四）服务要求：</w:t>
      </w:r>
    </w:p>
    <w:p>
      <w:pPr>
        <w:spacing w:line="360" w:lineRule="auto"/>
        <w:rPr>
          <w:rFonts w:asciiTheme="minorEastAsia" w:hAnsiTheme="minorEastAsia"/>
          <w:bCs/>
          <w:sz w:val="28"/>
          <w:szCs w:val="28"/>
        </w:rPr>
      </w:pPr>
      <w:r>
        <w:rPr>
          <w:rFonts w:hint="eastAsia" w:asciiTheme="minorEastAsia" w:hAnsiTheme="minorEastAsia"/>
          <w:bCs/>
          <w:sz w:val="28"/>
          <w:szCs w:val="28"/>
        </w:rPr>
        <w:t>1、本项目工程的质量保修期为自通过完工验收并交付之日起一年，保修期内应履行保修义务，承担相关物料及费用。</w:t>
      </w:r>
    </w:p>
    <w:p>
      <w:pPr>
        <w:spacing w:line="360" w:lineRule="auto"/>
        <w:rPr>
          <w:rFonts w:asciiTheme="minorEastAsia" w:hAnsiTheme="minorEastAsia"/>
          <w:bCs/>
          <w:sz w:val="28"/>
          <w:szCs w:val="28"/>
        </w:rPr>
      </w:pPr>
      <w:r>
        <w:rPr>
          <w:rFonts w:hint="eastAsia" w:asciiTheme="minorEastAsia" w:hAnsiTheme="minorEastAsia"/>
          <w:bCs/>
          <w:sz w:val="28"/>
          <w:szCs w:val="28"/>
        </w:rPr>
        <w:t>2、工程实施过程中的质量、技术标准按国家有关法规约定执行，施工过程中出现的安全问题由中标供应商自行负责并承担全部责任和由此产生的一切费用。</w:t>
      </w:r>
    </w:p>
    <w:p>
      <w:pPr>
        <w:spacing w:line="360" w:lineRule="auto"/>
        <w:rPr>
          <w:rFonts w:asciiTheme="minorEastAsia" w:hAnsiTheme="minorEastAsia"/>
          <w:bCs/>
          <w:sz w:val="28"/>
          <w:szCs w:val="28"/>
        </w:rPr>
      </w:pPr>
      <w:r>
        <w:rPr>
          <w:rFonts w:hint="eastAsia" w:asciiTheme="minorEastAsia" w:hAnsiTheme="minorEastAsia"/>
          <w:bCs/>
          <w:sz w:val="28"/>
          <w:szCs w:val="28"/>
        </w:rPr>
        <w:t>3、质量要求：材料、辅料提供国家质量技术监督局等相关部门颁布标准及环保标准。所用材料必须是全新、未使用过的，有质量检验合格证明的产品。</w:t>
      </w:r>
    </w:p>
    <w:p>
      <w:pPr>
        <w:spacing w:line="360" w:lineRule="auto"/>
        <w:rPr>
          <w:rFonts w:asciiTheme="minorEastAsia" w:hAnsiTheme="minorEastAsia"/>
          <w:bCs/>
          <w:sz w:val="28"/>
          <w:szCs w:val="28"/>
        </w:rPr>
      </w:pPr>
      <w:r>
        <w:rPr>
          <w:rFonts w:hint="eastAsia" w:asciiTheme="minorEastAsia" w:hAnsiTheme="minorEastAsia"/>
          <w:bCs/>
          <w:sz w:val="28"/>
          <w:szCs w:val="28"/>
        </w:rPr>
        <w:t>（五）验收：</w:t>
      </w:r>
    </w:p>
    <w:p>
      <w:pPr>
        <w:spacing w:line="360" w:lineRule="auto"/>
        <w:rPr>
          <w:rFonts w:asciiTheme="minorEastAsia" w:hAnsiTheme="minorEastAsia"/>
          <w:bCs/>
          <w:sz w:val="28"/>
          <w:szCs w:val="28"/>
        </w:rPr>
      </w:pPr>
      <w:r>
        <w:rPr>
          <w:rFonts w:hint="eastAsia" w:asciiTheme="minorEastAsia" w:hAnsiTheme="minorEastAsia"/>
          <w:bCs/>
          <w:sz w:val="28"/>
          <w:szCs w:val="28"/>
        </w:rPr>
        <w:t>1、由</w:t>
      </w:r>
      <w:r>
        <w:rPr>
          <w:rFonts w:hint="eastAsia" w:asciiTheme="minorEastAsia" w:hAnsiTheme="minorEastAsia"/>
          <w:sz w:val="28"/>
          <w:szCs w:val="28"/>
        </w:rPr>
        <w:t>成都市龙泉驿区双槐中学校</w:t>
      </w:r>
      <w:r>
        <w:rPr>
          <w:rFonts w:hint="eastAsia" w:asciiTheme="minorEastAsia" w:hAnsiTheme="minorEastAsia"/>
          <w:bCs/>
          <w:sz w:val="28"/>
          <w:szCs w:val="28"/>
        </w:rPr>
        <w:t>严格按照政府采购相关法律法规以及《财政部关于进一步加强政府采购需求和履约验收管理的指导意见》（财库〔2016〕205号）、《政府采购需求管理办法》（财库〔2021〕22号）的要求进行验收。</w:t>
      </w:r>
    </w:p>
    <w:p>
      <w:pPr>
        <w:spacing w:line="360" w:lineRule="auto"/>
        <w:jc w:val="center"/>
        <w:rPr>
          <w:rFonts w:asciiTheme="minorEastAsia" w:hAnsiTheme="minorEastAsia"/>
          <w:b/>
          <w:sz w:val="28"/>
          <w:szCs w:val="28"/>
        </w:rPr>
      </w:pPr>
      <w:r>
        <w:rPr>
          <w:rFonts w:hint="eastAsia" w:asciiTheme="minorEastAsia" w:hAnsiTheme="minorEastAsia"/>
          <w:b/>
          <w:sz w:val="28"/>
          <w:szCs w:val="28"/>
        </w:rPr>
        <w:t>第三章  比选程序及评分标准</w:t>
      </w:r>
    </w:p>
    <w:p>
      <w:pPr>
        <w:spacing w:line="360" w:lineRule="auto"/>
        <w:rPr>
          <w:rFonts w:asciiTheme="minorEastAsia" w:hAnsiTheme="minorEastAsia"/>
          <w:sz w:val="28"/>
          <w:szCs w:val="28"/>
        </w:rPr>
      </w:pPr>
      <w:r>
        <w:rPr>
          <w:rFonts w:hint="eastAsia" w:asciiTheme="minorEastAsia" w:hAnsiTheme="minorEastAsia"/>
          <w:b/>
          <w:sz w:val="28"/>
          <w:szCs w:val="28"/>
        </w:rPr>
        <w:t>一、</w:t>
      </w:r>
      <w:r>
        <w:rPr>
          <w:rFonts w:hint="eastAsia" w:asciiTheme="minorEastAsia" w:hAnsiTheme="minorEastAsia"/>
          <w:sz w:val="28"/>
          <w:szCs w:val="28"/>
        </w:rPr>
        <w:t>由采购人自行组成评选委员会，负责查看供应商所申报的材料是否完善，是否按要求加盖单位印章。</w:t>
      </w:r>
    </w:p>
    <w:p>
      <w:pPr>
        <w:spacing w:line="360" w:lineRule="auto"/>
        <w:rPr>
          <w:rFonts w:asciiTheme="minorEastAsia" w:hAnsiTheme="minorEastAsia"/>
          <w:sz w:val="28"/>
          <w:szCs w:val="28"/>
        </w:rPr>
      </w:pPr>
      <w:r>
        <w:rPr>
          <w:rFonts w:hint="eastAsia" w:asciiTheme="minorEastAsia" w:hAnsiTheme="minorEastAsia"/>
          <w:b/>
          <w:sz w:val="28"/>
          <w:szCs w:val="28"/>
        </w:rPr>
        <w:t>二</w:t>
      </w:r>
      <w:r>
        <w:rPr>
          <w:rFonts w:hint="eastAsia" w:asciiTheme="minorEastAsia" w:hAnsiTheme="minorEastAsia"/>
          <w:sz w:val="28"/>
          <w:szCs w:val="28"/>
        </w:rPr>
        <w:t>、评选委员会根据评审要求对供应商申报材料进行评分，按评分由高到低排序，评分相同的，以实施方案得分由高到低排序。由评选委员会确定排序第一的为成交供应商。排名第一的成交供应商放弃成交的，确定排名第二的为成交供应商，依次类推。</w:t>
      </w:r>
    </w:p>
    <w:p>
      <w:pPr>
        <w:spacing w:line="360" w:lineRule="auto"/>
        <w:rPr>
          <w:rFonts w:asciiTheme="minorEastAsia" w:hAnsiTheme="minorEastAsia"/>
          <w:b/>
          <w:sz w:val="28"/>
          <w:szCs w:val="28"/>
        </w:rPr>
      </w:pPr>
      <w:r>
        <w:rPr>
          <w:rFonts w:hint="eastAsia" w:asciiTheme="minorEastAsia" w:hAnsiTheme="minorEastAsia"/>
          <w:b/>
          <w:sz w:val="28"/>
          <w:szCs w:val="28"/>
        </w:rPr>
        <w:t>三、评分标准</w:t>
      </w:r>
    </w:p>
    <w:p>
      <w:pPr>
        <w:spacing w:line="360" w:lineRule="auto"/>
        <w:rPr>
          <w:rFonts w:asciiTheme="minorEastAsia" w:hAnsiTheme="minorEastAsia"/>
          <w:sz w:val="28"/>
          <w:szCs w:val="28"/>
        </w:rPr>
      </w:pPr>
      <w:r>
        <w:rPr>
          <w:rFonts w:hint="eastAsia" w:asciiTheme="minorEastAsia" w:hAnsiTheme="minorEastAsia"/>
          <w:sz w:val="28"/>
          <w:szCs w:val="28"/>
        </w:rPr>
        <w:t>比选文件评审评分表</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443"/>
        <w:gridCol w:w="907"/>
        <w:gridCol w:w="531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9" w:type="dxa"/>
            <w:vAlign w:val="center"/>
          </w:tcPr>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序号</w:t>
            </w:r>
          </w:p>
        </w:tc>
        <w:tc>
          <w:tcPr>
            <w:tcW w:w="1443" w:type="dxa"/>
            <w:vAlign w:val="center"/>
          </w:tcPr>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评分因素</w:t>
            </w:r>
          </w:p>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及权重</w:t>
            </w:r>
          </w:p>
        </w:tc>
        <w:tc>
          <w:tcPr>
            <w:tcW w:w="907" w:type="dxa"/>
            <w:vAlign w:val="center"/>
          </w:tcPr>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分值</w:t>
            </w:r>
          </w:p>
        </w:tc>
        <w:tc>
          <w:tcPr>
            <w:tcW w:w="5312" w:type="dxa"/>
            <w:vAlign w:val="center"/>
          </w:tcPr>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评分标准</w:t>
            </w:r>
          </w:p>
        </w:tc>
        <w:tc>
          <w:tcPr>
            <w:tcW w:w="860" w:type="dxa"/>
            <w:vAlign w:val="center"/>
          </w:tcPr>
          <w:p>
            <w:pPr>
              <w:adjustRightInd w:val="0"/>
              <w:snapToGrid w:val="0"/>
              <w:spacing w:line="460" w:lineRule="exact"/>
              <w:jc w:val="center"/>
              <w:rPr>
                <w:rFonts w:asciiTheme="minorEastAsia" w:hAnsiTheme="minorEastAsia"/>
                <w:sz w:val="28"/>
                <w:szCs w:val="28"/>
              </w:rPr>
            </w:pPr>
            <w:r>
              <w:rPr>
                <w:rFonts w:asciiTheme="minorEastAsia" w:hAnsiTheme="minorEastAsia"/>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9" w:type="dxa"/>
            <w:vAlign w:val="center"/>
          </w:tcPr>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1</w:t>
            </w:r>
          </w:p>
        </w:tc>
        <w:tc>
          <w:tcPr>
            <w:tcW w:w="1443" w:type="dxa"/>
            <w:vAlign w:val="center"/>
          </w:tcPr>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报价</w:t>
            </w:r>
          </w:p>
        </w:tc>
        <w:tc>
          <w:tcPr>
            <w:tcW w:w="907" w:type="dxa"/>
            <w:vAlign w:val="center"/>
          </w:tcPr>
          <w:p>
            <w:pPr>
              <w:adjustRightInd w:val="0"/>
              <w:snapToGrid w:val="0"/>
              <w:spacing w:line="460" w:lineRule="exact"/>
              <w:ind w:firstLine="28"/>
              <w:jc w:val="center"/>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0</w:t>
            </w:r>
          </w:p>
        </w:tc>
        <w:tc>
          <w:tcPr>
            <w:tcW w:w="5312" w:type="dxa"/>
            <w:vAlign w:val="center"/>
          </w:tcPr>
          <w:p>
            <w:pPr>
              <w:adjustRightInd w:val="0"/>
              <w:snapToGrid w:val="0"/>
              <w:spacing w:line="460" w:lineRule="exact"/>
              <w:rPr>
                <w:rFonts w:asciiTheme="minorEastAsia" w:hAnsiTheme="minorEastAsia"/>
                <w:sz w:val="28"/>
                <w:szCs w:val="28"/>
              </w:rPr>
            </w:pPr>
            <w:r>
              <w:rPr>
                <w:rFonts w:hint="eastAsia" w:asciiTheme="minorEastAsia" w:hAnsiTheme="minorEastAsia"/>
                <w:sz w:val="28"/>
                <w:szCs w:val="28"/>
              </w:rPr>
              <w:t>以本次最低最终报价为基准价，报价得分=(基准价/最终报价) *40</w:t>
            </w:r>
            <w:r>
              <w:rPr>
                <w:rFonts w:asciiTheme="minorEastAsia" w:hAnsiTheme="minorEastAsia"/>
                <w:sz w:val="28"/>
                <w:szCs w:val="28"/>
              </w:rPr>
              <w:t>。</w:t>
            </w:r>
          </w:p>
          <w:p>
            <w:pPr>
              <w:adjustRightInd w:val="0"/>
              <w:snapToGrid w:val="0"/>
              <w:spacing w:line="460" w:lineRule="exact"/>
              <w:rPr>
                <w:rFonts w:asciiTheme="minorEastAsia" w:hAnsiTheme="minorEastAsia"/>
                <w:sz w:val="28"/>
                <w:szCs w:val="28"/>
              </w:rPr>
            </w:pPr>
            <w:r>
              <w:rPr>
                <w:rFonts w:hint="eastAsia" w:asciiTheme="minorEastAsia" w:hAnsiTheme="minorEastAsia"/>
                <w:sz w:val="28"/>
                <w:szCs w:val="28"/>
              </w:rPr>
              <w:t>注：根据川财采[2015]33号文，对供应商的失信行为给予6%/次的报价累加加成，用调整后的价格参与评审。</w:t>
            </w:r>
          </w:p>
        </w:tc>
        <w:tc>
          <w:tcPr>
            <w:tcW w:w="860" w:type="dxa"/>
            <w:vAlign w:val="center"/>
          </w:tcPr>
          <w:p>
            <w:pPr>
              <w:adjustRightInd w:val="0"/>
              <w:snapToGrid w:val="0"/>
              <w:spacing w:line="460" w:lineRule="exact"/>
              <w:ind w:left="-38"/>
              <w:rPr>
                <w:rFonts w:asciiTheme="minorEastAsia" w:hAnsiTheme="minorEastAsia"/>
                <w:sz w:val="28"/>
                <w:szCs w:val="28"/>
              </w:rPr>
            </w:pPr>
          </w:p>
          <w:p>
            <w:pPr>
              <w:adjustRightInd w:val="0"/>
              <w:snapToGrid w:val="0"/>
              <w:spacing w:line="460" w:lineRule="exact"/>
              <w:ind w:left="-3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9" w:type="dxa"/>
            <w:tcBorders>
              <w:top w:val="single" w:color="auto" w:sz="4" w:space="0"/>
              <w:left w:val="single" w:color="auto" w:sz="4" w:space="0"/>
              <w:right w:val="single" w:color="auto" w:sz="4" w:space="0"/>
            </w:tcBorders>
            <w:vAlign w:val="center"/>
          </w:tcPr>
          <w:p>
            <w:pPr>
              <w:adjustRightInd w:val="0"/>
              <w:snapToGrid w:val="0"/>
              <w:spacing w:line="460" w:lineRule="exact"/>
              <w:jc w:val="center"/>
              <w:rPr>
                <w:rFonts w:asciiTheme="minorEastAsia" w:hAnsiTheme="minorEastAsia"/>
                <w:sz w:val="28"/>
                <w:szCs w:val="28"/>
              </w:rPr>
            </w:pPr>
            <w:r>
              <w:rPr>
                <w:rFonts w:asciiTheme="minorEastAsia" w:hAnsiTheme="minorEastAsia"/>
                <w:sz w:val="28"/>
                <w:szCs w:val="28"/>
              </w:rPr>
              <w:t>2</w:t>
            </w:r>
          </w:p>
        </w:tc>
        <w:tc>
          <w:tcPr>
            <w:tcW w:w="1443" w:type="dxa"/>
            <w:tcBorders>
              <w:top w:val="single" w:color="auto" w:sz="4" w:space="0"/>
              <w:left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hint="eastAsia" w:asciiTheme="minorEastAsia" w:hAnsiTheme="minorEastAsia"/>
                <w:sz w:val="28"/>
                <w:szCs w:val="28"/>
              </w:rPr>
              <w:t>履约能力</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hint="eastAsia" w:asciiTheme="minorEastAsia" w:hAnsiTheme="minorEastAsia"/>
                <w:sz w:val="28"/>
                <w:szCs w:val="28"/>
              </w:rPr>
              <w:t>25</w:t>
            </w:r>
          </w:p>
        </w:tc>
        <w:tc>
          <w:tcPr>
            <w:tcW w:w="5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left="46"/>
              <w:rPr>
                <w:rFonts w:asciiTheme="minorEastAsia" w:hAnsiTheme="minorEastAsia"/>
                <w:sz w:val="28"/>
                <w:szCs w:val="28"/>
              </w:rPr>
            </w:pPr>
            <w:r>
              <w:rPr>
                <w:rFonts w:hint="eastAsia" w:asciiTheme="minorEastAsia" w:hAnsiTheme="minorEastAsia"/>
                <w:sz w:val="28"/>
                <w:szCs w:val="28"/>
              </w:rPr>
              <w:t>供应商2020年1月1日（含）至今具有类似项目业绩的，每提供一个业绩得5分，最多得25分。</w:t>
            </w:r>
          </w:p>
          <w:p>
            <w:pPr>
              <w:adjustRightInd w:val="0"/>
              <w:snapToGrid w:val="0"/>
              <w:spacing w:line="460" w:lineRule="exact"/>
              <w:ind w:left="46"/>
              <w:rPr>
                <w:rFonts w:asciiTheme="minorEastAsia" w:hAnsiTheme="minorEastAsia"/>
                <w:sz w:val="28"/>
                <w:szCs w:val="28"/>
              </w:rPr>
            </w:pPr>
            <w:r>
              <w:rPr>
                <w:rFonts w:hint="eastAsia" w:asciiTheme="minorEastAsia" w:hAnsiTheme="minorEastAsia"/>
                <w:sz w:val="28"/>
                <w:szCs w:val="28"/>
              </w:rPr>
              <w:t>注：提供中标/成交通知书或合同（协议）复印件并加盖供应商鲜章。</w:t>
            </w:r>
          </w:p>
        </w:tc>
        <w:tc>
          <w:tcPr>
            <w:tcW w:w="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left="-3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hint="eastAsia" w:asciiTheme="minorEastAsia" w:hAnsiTheme="minorEastAsia"/>
                <w:sz w:val="28"/>
                <w:szCs w:val="28"/>
              </w:rPr>
              <w:t>3</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hint="eastAsia" w:asciiTheme="minorEastAsia" w:hAnsiTheme="minorEastAsia"/>
                <w:sz w:val="28"/>
                <w:szCs w:val="28"/>
              </w:rPr>
              <w:t>服务方案</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hint="eastAsia" w:asciiTheme="minorEastAsia" w:hAnsiTheme="minorEastAsia"/>
                <w:sz w:val="28"/>
                <w:szCs w:val="28"/>
              </w:rPr>
              <w:t>32</w:t>
            </w:r>
          </w:p>
        </w:tc>
        <w:tc>
          <w:tcPr>
            <w:tcW w:w="5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Theme="minorEastAsia" w:hAnsiTheme="minorEastAsia"/>
                <w:sz w:val="28"/>
                <w:szCs w:val="28"/>
              </w:rPr>
            </w:pPr>
            <w:r>
              <w:rPr>
                <w:rFonts w:hint="eastAsia" w:asciiTheme="minorEastAsia" w:hAnsiTheme="minorEastAsia"/>
                <w:sz w:val="28"/>
                <w:szCs w:val="28"/>
              </w:rPr>
              <w:t>1、供应商根据对项目的质保期进行承诺，在招标文件要求的期限上每增加一年得4分，最多得8分，不增加或者不提供不得分。（提供承诺函原件，格式自拟）</w:t>
            </w:r>
          </w:p>
          <w:p>
            <w:pPr>
              <w:adjustRightInd w:val="0"/>
              <w:snapToGrid w:val="0"/>
              <w:spacing w:line="460" w:lineRule="exact"/>
              <w:rPr>
                <w:rFonts w:asciiTheme="minorEastAsia" w:hAnsiTheme="minorEastAsia"/>
                <w:sz w:val="28"/>
                <w:szCs w:val="28"/>
              </w:rPr>
            </w:pPr>
            <w:r>
              <w:rPr>
                <w:rFonts w:hint="eastAsia" w:asciiTheme="minorEastAsia" w:hAnsiTheme="minorEastAsia"/>
                <w:sz w:val="28"/>
                <w:szCs w:val="28"/>
              </w:rPr>
              <w:t>2、根据投标人对本项目制定的服务方案进行综合评价，包括但不限于：①质保期限、②质保方案、③质保措施、④人员配备、⑤质保应急预案、⑥响应速度等且完全满足项目需求的方案内容完善的得24分，方案内容中每缺少1项内容扣6分；方案内容中每有1处存在缺陷（缺陷是指方案内容与项目实际情况不相符或套用其他项目方案或前后内容相互矛盾或存在与本项目无关的内容）扣1分；扣完为止。</w:t>
            </w:r>
          </w:p>
        </w:tc>
        <w:tc>
          <w:tcPr>
            <w:tcW w:w="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left="-3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hint="eastAsia" w:asciiTheme="minorEastAsia" w:hAnsiTheme="minorEastAsia"/>
                <w:sz w:val="28"/>
                <w:szCs w:val="28"/>
              </w:rPr>
              <w:t>4</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响应文件的规范性</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hint="eastAsia" w:asciiTheme="minorEastAsia" w:hAnsiTheme="minorEastAsia"/>
                <w:sz w:val="28"/>
                <w:szCs w:val="28"/>
              </w:rPr>
              <w:t>3</w:t>
            </w:r>
          </w:p>
        </w:tc>
        <w:tc>
          <w:tcPr>
            <w:tcW w:w="5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Theme="minorEastAsia" w:hAnsiTheme="minorEastAsia"/>
                <w:sz w:val="28"/>
                <w:szCs w:val="28"/>
              </w:rPr>
            </w:pPr>
            <w:r>
              <w:rPr>
                <w:rFonts w:asciiTheme="minorEastAsia" w:hAnsiTheme="minorEastAsia"/>
                <w:sz w:val="28"/>
                <w:szCs w:val="28"/>
              </w:rPr>
              <w:t>响应文件制作规范，没有细微偏差情形的得</w:t>
            </w:r>
            <w:r>
              <w:rPr>
                <w:rFonts w:hint="eastAsia" w:asciiTheme="minorEastAsia" w:hAnsiTheme="minorEastAsia"/>
                <w:sz w:val="28"/>
                <w:szCs w:val="28"/>
              </w:rPr>
              <w:t>0.5</w:t>
            </w:r>
            <w:r>
              <w:rPr>
                <w:rFonts w:asciiTheme="minorEastAsia" w:hAnsiTheme="minorEastAsia"/>
                <w:sz w:val="28"/>
                <w:szCs w:val="28"/>
              </w:rPr>
              <w:t>分；每有一项细微偏差扣1分，直至该项分值扣完为止。</w:t>
            </w:r>
          </w:p>
        </w:tc>
        <w:tc>
          <w:tcPr>
            <w:tcW w:w="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left="-3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9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总计</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firstLine="28"/>
              <w:jc w:val="center"/>
              <w:rPr>
                <w:rFonts w:asciiTheme="minorEastAsia" w:hAnsiTheme="minorEastAsia"/>
                <w:sz w:val="28"/>
                <w:szCs w:val="28"/>
              </w:rPr>
            </w:pPr>
            <w:r>
              <w:rPr>
                <w:rFonts w:asciiTheme="minorEastAsia" w:hAnsiTheme="minorEastAsia"/>
                <w:sz w:val="28"/>
                <w:szCs w:val="28"/>
              </w:rPr>
              <w:t>100</w:t>
            </w:r>
          </w:p>
        </w:tc>
        <w:tc>
          <w:tcPr>
            <w:tcW w:w="5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asciiTheme="minorEastAsia" w:hAnsiTheme="minorEastAsia"/>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ind w:left="-38"/>
              <w:rPr>
                <w:rFonts w:asciiTheme="minorEastAsia" w:hAnsiTheme="minorEastAsia"/>
                <w:sz w:val="28"/>
                <w:szCs w:val="28"/>
              </w:rPr>
            </w:pPr>
          </w:p>
        </w:tc>
      </w:tr>
    </w:tbl>
    <w:p>
      <w:pPr>
        <w:spacing w:line="460" w:lineRule="exact"/>
        <w:rPr>
          <w:rFonts w:asciiTheme="minorEastAsia" w:hAnsiTheme="minorEastAsia"/>
          <w:b/>
          <w:sz w:val="28"/>
          <w:szCs w:val="28"/>
        </w:rPr>
      </w:pPr>
    </w:p>
    <w:p>
      <w:pPr>
        <w:widowControl/>
        <w:jc w:val="left"/>
        <w:rPr>
          <w:rFonts w:asciiTheme="minorEastAsia" w:hAnsiTheme="minorEastAsia"/>
          <w:b/>
          <w:sz w:val="28"/>
          <w:szCs w:val="28"/>
        </w:rPr>
      </w:pPr>
      <w:r>
        <w:rPr>
          <w:rFonts w:asciiTheme="minorEastAsia" w:hAnsiTheme="minorEastAsia"/>
          <w:b/>
          <w:sz w:val="28"/>
          <w:szCs w:val="28"/>
        </w:rPr>
        <w:br w:type="page"/>
      </w:r>
    </w:p>
    <w:p>
      <w:pPr>
        <w:spacing w:line="360" w:lineRule="auto"/>
        <w:rPr>
          <w:rFonts w:asciiTheme="minorEastAsia" w:hAnsiTheme="minorEastAsia"/>
          <w:b/>
          <w:sz w:val="28"/>
          <w:szCs w:val="28"/>
        </w:rPr>
      </w:pPr>
      <w:r>
        <w:rPr>
          <w:rFonts w:hint="eastAsia" w:asciiTheme="minorEastAsia" w:hAnsiTheme="minorEastAsia"/>
          <w:b/>
          <w:sz w:val="28"/>
          <w:szCs w:val="28"/>
        </w:rPr>
        <w:t>第四章 响应文件要求</w:t>
      </w:r>
    </w:p>
    <w:p>
      <w:pPr>
        <w:spacing w:line="360" w:lineRule="auto"/>
        <w:rPr>
          <w:rFonts w:asciiTheme="minorEastAsia" w:hAnsiTheme="minorEastAsia"/>
          <w:sz w:val="28"/>
          <w:szCs w:val="28"/>
        </w:rPr>
      </w:pPr>
      <w:r>
        <w:rPr>
          <w:rFonts w:hint="eastAsia" w:asciiTheme="minorEastAsia" w:hAnsiTheme="minorEastAsia"/>
          <w:sz w:val="28"/>
          <w:szCs w:val="28"/>
        </w:rPr>
        <w:t>一、比选申请函（格式自拟）；</w:t>
      </w:r>
    </w:p>
    <w:p>
      <w:pPr>
        <w:spacing w:line="360" w:lineRule="auto"/>
        <w:rPr>
          <w:rFonts w:asciiTheme="minorEastAsia" w:hAnsiTheme="minorEastAsia"/>
          <w:sz w:val="28"/>
          <w:szCs w:val="28"/>
        </w:rPr>
      </w:pPr>
      <w:r>
        <w:rPr>
          <w:rFonts w:hint="eastAsia" w:asciiTheme="minorEastAsia" w:hAnsiTheme="minorEastAsia"/>
          <w:sz w:val="28"/>
          <w:szCs w:val="28"/>
        </w:rPr>
        <w:t>二、报价表（格式自拟）；</w:t>
      </w:r>
    </w:p>
    <w:p>
      <w:pPr>
        <w:spacing w:line="360" w:lineRule="auto"/>
        <w:rPr>
          <w:rFonts w:asciiTheme="minorEastAsia" w:hAnsiTheme="minorEastAsia"/>
          <w:sz w:val="28"/>
          <w:szCs w:val="28"/>
        </w:rPr>
      </w:pPr>
      <w:r>
        <w:rPr>
          <w:rFonts w:hint="eastAsia" w:asciiTheme="minorEastAsia" w:hAnsiTheme="minorEastAsia"/>
          <w:sz w:val="28"/>
          <w:szCs w:val="28"/>
        </w:rPr>
        <w:t>三、符合《政府采购法》第二十二条的证明材料及相关的承诺函；</w:t>
      </w:r>
    </w:p>
    <w:p>
      <w:pPr>
        <w:spacing w:line="360" w:lineRule="auto"/>
        <w:rPr>
          <w:rFonts w:asciiTheme="minorEastAsia" w:hAnsiTheme="minorEastAsia"/>
          <w:sz w:val="28"/>
          <w:szCs w:val="28"/>
        </w:rPr>
      </w:pPr>
      <w:r>
        <w:rPr>
          <w:rFonts w:hint="eastAsia" w:asciiTheme="minorEastAsia" w:hAnsiTheme="minorEastAsia"/>
          <w:sz w:val="28"/>
          <w:szCs w:val="28"/>
        </w:rPr>
        <w:t>四、法定代表人授权委托书（法定代表人本人参加的，不提交）；</w:t>
      </w:r>
    </w:p>
    <w:p>
      <w:pPr>
        <w:spacing w:line="360" w:lineRule="auto"/>
        <w:rPr>
          <w:rFonts w:asciiTheme="minorEastAsia" w:hAnsiTheme="minorEastAsia"/>
          <w:sz w:val="28"/>
          <w:szCs w:val="28"/>
        </w:rPr>
      </w:pPr>
      <w:r>
        <w:rPr>
          <w:rFonts w:hint="eastAsia" w:asciiTheme="minorEastAsia" w:hAnsiTheme="minorEastAsia"/>
          <w:sz w:val="28"/>
          <w:szCs w:val="28"/>
        </w:rPr>
        <w:t>五、商务响应文件；</w:t>
      </w:r>
    </w:p>
    <w:p>
      <w:pPr>
        <w:spacing w:line="360" w:lineRule="auto"/>
        <w:rPr>
          <w:rFonts w:asciiTheme="minorEastAsia" w:hAnsiTheme="minorEastAsia"/>
          <w:sz w:val="28"/>
          <w:szCs w:val="28"/>
        </w:rPr>
      </w:pPr>
      <w:r>
        <w:rPr>
          <w:rFonts w:hint="eastAsia" w:asciiTheme="minorEastAsia" w:hAnsiTheme="minorEastAsia"/>
          <w:sz w:val="28"/>
          <w:szCs w:val="28"/>
        </w:rPr>
        <w:t>六、服务方案（格式自拟）；</w:t>
      </w:r>
    </w:p>
    <w:p>
      <w:pPr>
        <w:spacing w:line="360" w:lineRule="auto"/>
        <w:rPr>
          <w:rFonts w:asciiTheme="minorEastAsia" w:hAnsiTheme="minorEastAsia"/>
          <w:sz w:val="28"/>
          <w:szCs w:val="28"/>
        </w:rPr>
      </w:pPr>
      <w:r>
        <w:rPr>
          <w:rFonts w:hint="eastAsia" w:asciiTheme="minorEastAsia" w:hAnsiTheme="minorEastAsia"/>
          <w:sz w:val="28"/>
          <w:szCs w:val="28"/>
        </w:rPr>
        <w:t>七、类似业绩；</w:t>
      </w:r>
    </w:p>
    <w:p>
      <w:pPr>
        <w:spacing w:line="360" w:lineRule="auto"/>
        <w:rPr>
          <w:rFonts w:asciiTheme="minorEastAsia" w:hAnsiTheme="minorEastAsia"/>
          <w:sz w:val="28"/>
          <w:szCs w:val="28"/>
        </w:rPr>
      </w:pPr>
      <w:r>
        <w:rPr>
          <w:rFonts w:hint="eastAsia" w:asciiTheme="minorEastAsia" w:hAnsiTheme="minorEastAsia"/>
          <w:sz w:val="28"/>
          <w:szCs w:val="28"/>
        </w:rPr>
        <w:t>八、其他证明材料。</w:t>
      </w:r>
    </w:p>
    <w:p>
      <w:pPr>
        <w:spacing w:line="360" w:lineRule="auto"/>
        <w:rPr>
          <w:rFonts w:asciiTheme="minorEastAsia" w:hAnsiTheme="minorEastAsia"/>
          <w:sz w:val="28"/>
          <w:szCs w:val="28"/>
        </w:rPr>
      </w:pPr>
      <w:r>
        <w:rPr>
          <w:rFonts w:hint="eastAsia" w:asciiTheme="minorEastAsia" w:hAnsiTheme="minorEastAsia"/>
          <w:sz w:val="28"/>
          <w:szCs w:val="28"/>
        </w:rPr>
        <w:t xml:space="preserve">    供应商应保证所提交材料的合法性、真实性和有效性。响应文件需提交正本一份。</w:t>
      </w:r>
    </w:p>
    <w:sectPr>
      <w:pgSz w:w="11906" w:h="16838"/>
      <w:pgMar w:top="1134" w:right="113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TgyYTFmNDNhZDU1ODRmMzNkNTcwOTVjNDJlM2IifQ=="/>
  </w:docVars>
  <w:rsids>
    <w:rsidRoot w:val="002E6875"/>
    <w:rsid w:val="00021ECF"/>
    <w:rsid w:val="0003433C"/>
    <w:rsid w:val="0004360F"/>
    <w:rsid w:val="000907CE"/>
    <w:rsid w:val="000D2DAF"/>
    <w:rsid w:val="000D5D5E"/>
    <w:rsid w:val="000F0D29"/>
    <w:rsid w:val="001170A1"/>
    <w:rsid w:val="001A297F"/>
    <w:rsid w:val="001E70AD"/>
    <w:rsid w:val="0026488E"/>
    <w:rsid w:val="002829E1"/>
    <w:rsid w:val="00291518"/>
    <w:rsid w:val="002A34A6"/>
    <w:rsid w:val="002B0CB9"/>
    <w:rsid w:val="002C133E"/>
    <w:rsid w:val="002D15F8"/>
    <w:rsid w:val="002D263B"/>
    <w:rsid w:val="002D7583"/>
    <w:rsid w:val="002E6875"/>
    <w:rsid w:val="002E6C1A"/>
    <w:rsid w:val="002F64B1"/>
    <w:rsid w:val="00300139"/>
    <w:rsid w:val="003432FA"/>
    <w:rsid w:val="00355EF2"/>
    <w:rsid w:val="003C1A11"/>
    <w:rsid w:val="003D2BA4"/>
    <w:rsid w:val="004063C1"/>
    <w:rsid w:val="00427882"/>
    <w:rsid w:val="00430F90"/>
    <w:rsid w:val="004762E2"/>
    <w:rsid w:val="004C78FB"/>
    <w:rsid w:val="004D28F9"/>
    <w:rsid w:val="004F698A"/>
    <w:rsid w:val="005A71B2"/>
    <w:rsid w:val="005E01F1"/>
    <w:rsid w:val="00600E7F"/>
    <w:rsid w:val="0061508B"/>
    <w:rsid w:val="00660A95"/>
    <w:rsid w:val="00665A91"/>
    <w:rsid w:val="00677915"/>
    <w:rsid w:val="00694F28"/>
    <w:rsid w:val="006D2579"/>
    <w:rsid w:val="006D4CB3"/>
    <w:rsid w:val="006F3001"/>
    <w:rsid w:val="00732C96"/>
    <w:rsid w:val="007723F2"/>
    <w:rsid w:val="00774679"/>
    <w:rsid w:val="007A4B5D"/>
    <w:rsid w:val="007B3732"/>
    <w:rsid w:val="007F03CB"/>
    <w:rsid w:val="007F3071"/>
    <w:rsid w:val="00806E12"/>
    <w:rsid w:val="008279FC"/>
    <w:rsid w:val="008309CE"/>
    <w:rsid w:val="008615DC"/>
    <w:rsid w:val="00864F80"/>
    <w:rsid w:val="00875C5F"/>
    <w:rsid w:val="008A11D7"/>
    <w:rsid w:val="008A5470"/>
    <w:rsid w:val="008B4D2A"/>
    <w:rsid w:val="008D6A78"/>
    <w:rsid w:val="008E2D8A"/>
    <w:rsid w:val="00952266"/>
    <w:rsid w:val="009801A6"/>
    <w:rsid w:val="00A02749"/>
    <w:rsid w:val="00A20C82"/>
    <w:rsid w:val="00A6578A"/>
    <w:rsid w:val="00AB6E18"/>
    <w:rsid w:val="00B26D00"/>
    <w:rsid w:val="00B30C6C"/>
    <w:rsid w:val="00B7048C"/>
    <w:rsid w:val="00B943F4"/>
    <w:rsid w:val="00BB2300"/>
    <w:rsid w:val="00C76B6A"/>
    <w:rsid w:val="00CA37BF"/>
    <w:rsid w:val="00CD7778"/>
    <w:rsid w:val="00CE4B74"/>
    <w:rsid w:val="00D21E67"/>
    <w:rsid w:val="00D25FE8"/>
    <w:rsid w:val="00D26A00"/>
    <w:rsid w:val="00D27D46"/>
    <w:rsid w:val="00D5568A"/>
    <w:rsid w:val="00D8150C"/>
    <w:rsid w:val="00D939A6"/>
    <w:rsid w:val="00DA3ADB"/>
    <w:rsid w:val="00DB0860"/>
    <w:rsid w:val="00DB6684"/>
    <w:rsid w:val="00DE533A"/>
    <w:rsid w:val="00DF7A23"/>
    <w:rsid w:val="00E51E87"/>
    <w:rsid w:val="00E62F30"/>
    <w:rsid w:val="00EB6DF2"/>
    <w:rsid w:val="00ED091B"/>
    <w:rsid w:val="00EE6D2A"/>
    <w:rsid w:val="00EF1601"/>
    <w:rsid w:val="00EF6B49"/>
    <w:rsid w:val="00F255F3"/>
    <w:rsid w:val="00F51913"/>
    <w:rsid w:val="00F56E40"/>
    <w:rsid w:val="00F5758D"/>
    <w:rsid w:val="00F700F5"/>
    <w:rsid w:val="00F96186"/>
    <w:rsid w:val="16343312"/>
    <w:rsid w:val="38885B58"/>
    <w:rsid w:val="3DF43271"/>
    <w:rsid w:val="41785525"/>
    <w:rsid w:val="4C730B96"/>
    <w:rsid w:val="5453228F"/>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414</Words>
  <Characters>2360</Characters>
  <Lines>19</Lines>
  <Paragraphs>5</Paragraphs>
  <TotalTime>125</TotalTime>
  <ScaleCrop>false</ScaleCrop>
  <LinksUpToDate>false</LinksUpToDate>
  <CharactersWithSpaces>2769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2022-05-05T03:05:00Z</dcterms:created>
  <dc:creator>Administrator</dc:creator>
  <cp:lastModifiedBy>卡戎</cp:lastModifiedBy>
  <dcterms:modified xsi:type="dcterms:W3CDTF">2023-08-10T07:02:49Z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97BC7A4378A14EB1929B3F9DE408EC90_12</vt:lpwstr>
  </property>
</Properties>
</file>