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/>
        <w:snapToGrid w:val="0"/>
        <w:spacing w:before="10" w:after="10" w:line="276" w:lineRule="auto"/>
        <w:jc w:val="center"/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</w:pPr>
      <w:bookmarkStart w:id="0" w:name="_Toc22959"/>
      <w:bookmarkStart w:id="1" w:name="_Toc36562446"/>
      <w:bookmarkStart w:id="2" w:name="_Toc17127"/>
      <w:r>
        <w:rPr>
          <w:rFonts w:hint="eastAsia" w:ascii="仿宋" w:hAnsi="仿宋" w:eastAsia="仿宋" w:cs="仿宋"/>
          <w:color w:val="auto"/>
          <w:sz w:val="36"/>
          <w:szCs w:val="36"/>
          <w:highlight w:val="none"/>
        </w:rPr>
        <w:t>第五章  采购项目技术、服务、商务及其他要求</w:t>
      </w:r>
      <w:bookmarkEnd w:id="0"/>
      <w:bookmarkEnd w:id="1"/>
      <w:bookmarkEnd w:id="2"/>
      <w:bookmarkStart w:id="3" w:name="_Hlk45530010"/>
    </w:p>
    <w:p>
      <w:pPr>
        <w:tabs>
          <w:tab w:val="left" w:pos="7665"/>
        </w:tabs>
        <w:snapToGrid w:val="0"/>
        <w:spacing w:line="276" w:lineRule="auto"/>
        <w:rPr>
          <w:rFonts w:hint="eastAsia" w:ascii="仿宋" w:hAnsi="仿宋" w:eastAsia="仿宋" w:cs="仿宋"/>
          <w:b/>
          <w:color w:val="auto"/>
          <w:sz w:val="28"/>
          <w:szCs w:val="28"/>
          <w:highlight w:val="none"/>
        </w:rPr>
      </w:pPr>
    </w:p>
    <w:p>
      <w:pPr>
        <w:tabs>
          <w:tab w:val="left" w:pos="7665"/>
        </w:tabs>
        <w:adjustRightInd w:val="0"/>
        <w:snapToGrid w:val="0"/>
        <w:spacing w:line="360" w:lineRule="auto"/>
        <w:ind w:firstLine="482" w:firstLineChars="200"/>
        <w:outlineLvl w:val="1"/>
        <w:rPr>
          <w:rFonts w:hint="eastAsia" w:ascii="仿宋" w:hAnsi="仿宋" w:eastAsia="仿宋" w:cs="仿宋"/>
          <w:b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/>
          <w:color w:val="auto"/>
          <w:sz w:val="24"/>
          <w:highlight w:val="none"/>
        </w:rPr>
        <w:t>一、项目概况</w:t>
      </w:r>
    </w:p>
    <w:p>
      <w:pPr>
        <w:tabs>
          <w:tab w:val="left" w:pos="7665"/>
        </w:tabs>
        <w:adjustRightInd w:val="0"/>
        <w:snapToGrid w:val="0"/>
        <w:spacing w:line="360" w:lineRule="auto"/>
        <w:ind w:firstLine="480" w:firstLineChars="200"/>
        <w:outlineLvl w:val="1"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1、项目简介：本项目共1个包，采购广告制作服务供应商两名。</w:t>
      </w:r>
    </w:p>
    <w:p>
      <w:pPr>
        <w:pStyle w:val="2"/>
        <w:ind w:firstLine="480" w:firstLineChars="200"/>
        <w:rPr>
          <w:rFonts w:hint="eastAsia" w:ascii="仿宋" w:hAnsi="仿宋" w:eastAsia="仿宋" w:cs="仿宋"/>
          <w:bCs/>
          <w:color w:val="auto"/>
          <w:sz w:val="24"/>
          <w:highlight w:val="none"/>
        </w:rPr>
      </w:pPr>
      <w:r>
        <w:rPr>
          <w:rFonts w:hint="eastAsia" w:ascii="仿宋" w:hAnsi="仿宋" w:eastAsia="仿宋" w:cs="仿宋"/>
          <w:bCs/>
          <w:color w:val="auto"/>
          <w:sz w:val="24"/>
          <w:highlight w:val="none"/>
        </w:rPr>
        <w:t>2、标的行业划分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6"/>
        <w:gridCol w:w="3705"/>
        <w:gridCol w:w="31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pStyle w:val="5"/>
              <w:snapToGrid w:val="0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pStyle w:val="5"/>
              <w:snapToGrid w:val="0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标的名称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pStyle w:val="5"/>
              <w:snapToGrid w:val="0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856" w:type="dxa"/>
            <w:noWrap w:val="0"/>
            <w:vAlign w:val="center"/>
          </w:tcPr>
          <w:p>
            <w:pPr>
              <w:pStyle w:val="5"/>
              <w:snapToGrid w:val="0"/>
              <w:spacing w:line="276" w:lineRule="auto"/>
              <w:ind w:firstLine="0" w:firstLineChars="0"/>
              <w:jc w:val="center"/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3705" w:type="dxa"/>
            <w:noWrap w:val="0"/>
            <w:vAlign w:val="center"/>
          </w:tcPr>
          <w:p>
            <w:pPr>
              <w:pStyle w:val="5"/>
              <w:snapToGrid w:val="0"/>
              <w:spacing w:line="276" w:lineRule="auto"/>
              <w:ind w:firstLine="0" w:firstLineChars="0"/>
              <w:jc w:val="center"/>
              <w:rPr>
                <w:rFonts w:ascii="仿宋" w:hAnsi="仿宋" w:eastAsia="仿宋" w:cs="仿宋"/>
                <w:bCs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bCs/>
                <w:color w:val="auto"/>
                <w:sz w:val="24"/>
                <w:highlight w:val="none"/>
              </w:rPr>
              <w:t>广告制作服务</w:t>
            </w:r>
          </w:p>
        </w:tc>
        <w:tc>
          <w:tcPr>
            <w:tcW w:w="3189" w:type="dxa"/>
            <w:noWrap w:val="0"/>
            <w:vAlign w:val="center"/>
          </w:tcPr>
          <w:p>
            <w:pPr>
              <w:pStyle w:val="5"/>
              <w:snapToGrid w:val="0"/>
              <w:spacing w:line="276" w:lineRule="auto"/>
              <w:ind w:firstLine="0" w:firstLineChars="0"/>
              <w:jc w:val="center"/>
              <w:rPr>
                <w:rFonts w:ascii="仿宋" w:hAnsi="仿宋" w:eastAsia="仿宋" w:cs="仿宋"/>
                <w:color w:val="auto"/>
                <w:sz w:val="24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highlight w:val="none"/>
              </w:rPr>
              <w:t>其他未列明行业</w:t>
            </w:r>
          </w:p>
        </w:tc>
      </w:tr>
    </w:tbl>
    <w:p>
      <w:pPr>
        <w:snapToGrid w:val="0"/>
        <w:ind w:firstLine="420" w:firstLineChars="200"/>
        <w:rPr>
          <w:rFonts w:hint="eastAsia" w:ascii="仿宋" w:hAnsi="仿宋" w:eastAsia="仿宋" w:cs="仿宋"/>
          <w:color w:val="auto"/>
          <w:highlight w:val="none"/>
        </w:rPr>
      </w:pPr>
    </w:p>
    <w:p>
      <w:pPr>
        <w:snapToGrid w:val="0"/>
        <w:spacing w:line="276" w:lineRule="auto"/>
        <w:ind w:firstLine="480" w:firstLineChars="200"/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kern w:val="44"/>
          <w:sz w:val="24"/>
          <w:szCs w:val="24"/>
          <w:highlight w:val="none"/>
        </w:rPr>
        <w:t>注：上表中“所属行业”系指“</w:t>
      </w: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《工业和信息化部、国家统计局、国家发展和改革委员会、财政部关于印发中小企业划型标准规定的通知》（工信部联企业〔2011〕300号文件）”规定的</w:t>
      </w:r>
      <w:r>
        <w:rPr>
          <w:rFonts w:hint="eastAsia" w:ascii="仿宋" w:hAnsi="仿宋" w:eastAsia="仿宋" w:cs="仿宋"/>
          <w:color w:val="auto"/>
          <w:kern w:val="0"/>
          <w:sz w:val="24"/>
          <w:szCs w:val="24"/>
          <w:highlight w:val="none"/>
        </w:rPr>
        <w:t>中小企业划型标准所属行业。</w:t>
      </w:r>
    </w:p>
    <w:p>
      <w:pPr>
        <w:pStyle w:val="6"/>
        <w:snapToGrid w:val="0"/>
        <w:spacing w:line="360" w:lineRule="auto"/>
        <w:ind w:firstLine="482" w:firstLineChars="200"/>
        <w:rPr>
          <w:rFonts w:hint="default" w:ascii="仿宋" w:hAnsi="仿宋" w:eastAsia="仿宋" w:cs="Arial"/>
          <w:b/>
          <w:bCs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kern w:val="44"/>
          <w:sz w:val="24"/>
          <w:szCs w:val="24"/>
          <w:highlight w:val="none"/>
        </w:rPr>
        <w:t>★</w:t>
      </w:r>
      <w:r>
        <w:rPr>
          <w:rFonts w:ascii="仿宋" w:hAnsi="仿宋" w:eastAsia="仿宋" w:cs="Arial"/>
          <w:b/>
          <w:bCs/>
          <w:color w:val="auto"/>
          <w:kern w:val="44"/>
          <w:sz w:val="24"/>
          <w:szCs w:val="24"/>
          <w:highlight w:val="none"/>
        </w:rPr>
        <w:t>二、</w:t>
      </w:r>
      <w:r>
        <w:rPr>
          <w:rFonts w:hint="default" w:ascii="仿宋" w:hAnsi="仿宋" w:eastAsia="仿宋" w:cs="Arial"/>
          <w:b/>
          <w:bCs/>
          <w:color w:val="auto"/>
          <w:kern w:val="44"/>
          <w:sz w:val="24"/>
          <w:szCs w:val="24"/>
          <w:highlight w:val="none"/>
        </w:rPr>
        <w:t>服务</w:t>
      </w:r>
      <w:r>
        <w:rPr>
          <w:rFonts w:ascii="仿宋" w:hAnsi="仿宋" w:eastAsia="仿宋" w:cs="Arial"/>
          <w:b/>
          <w:bCs/>
          <w:color w:val="auto"/>
          <w:kern w:val="44"/>
          <w:sz w:val="24"/>
          <w:szCs w:val="24"/>
          <w:highlight w:val="none"/>
        </w:rPr>
        <w:t>清单及限价</w:t>
      </w:r>
    </w:p>
    <w:tbl>
      <w:tblPr>
        <w:tblStyle w:val="8"/>
        <w:tblW w:w="998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9"/>
        <w:gridCol w:w="1173"/>
        <w:gridCol w:w="1530"/>
        <w:gridCol w:w="1005"/>
        <w:gridCol w:w="1320"/>
        <w:gridCol w:w="1275"/>
        <w:gridCol w:w="1335"/>
        <w:gridCol w:w="15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98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成都市龙泉驿区中医医院标识标牌零星制作采购清单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11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类别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常见项目（用途）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材质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单位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单价限价（元）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喷绘写真类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各类广告牌及背景等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普通喷绘布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单张不足一平方按一平方算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各类广告牌及背景等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黑底喷绘布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单张不足一平方按一平方算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形象宣传展示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网格布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单张不足一平方按一平方算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背胶/海报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横幅、吊旗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写真旗帜布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灯片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地贴、宣传贴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黑/白胶可移车贴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透明车贴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反光膜UV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晶彩格UV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油画布UV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单张不足一平方按一平方算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软膜UV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单张不足一平方按一平方算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单面背胶KT板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双面背胶KT板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单面背胶超卡板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双面背胶超卡板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单面背胶5mmPVC板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双面背胶5mmPVC板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单面背胶7mmPVC板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双面背胶7mmPVC板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单面背胶9mmPVC板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双面背胶9mmPVC板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5mmPVC结皮板-UV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9mmPVC结皮板-UV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14mmPVC结皮板-UV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17mmPVC结皮板-UV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3mm亚克力-UV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5mm亚克力-UV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7mm亚克力-UV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9mm亚克力-UV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展板、宣传画类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15mm亚克力-UV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单张不足0.5平方按0.5平方算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11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标识标牌类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5+2水晶字30cm以下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5+2水晶字30cm以上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7+2水晶字30cm以下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1.6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7+2水晶字30cm以上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9+2水晶字30cm以下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9+2水晶字30cm以上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14+2水晶字30cm以下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14+2水晶字30cm以上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17+2水晶字30cm以下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cm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形象墙、标识等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尺寸不限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17+2水晶字30cm以上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门字架架子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0.8*1.8米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铁架+画面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易拉宝架子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0.8*1.8米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铝合金架+画面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标准规格0.8*2米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X展架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0.8*1.8米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碳素架+画面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A型展牌架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0.8*1.2米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水牌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直立展板架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0.8*1.8米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丽屏展架+双面KT板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简介牌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0.8*1.8米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丽屏展架+双面KT板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195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宣传栏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0.6*0.9米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亚克力+夹画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党建墙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现场制作尺寸为准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根据制作尺寸及工艺核算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亚克力强磁桌牌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10*20厘米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亚克力T形桌牌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钛金奖牌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0.35*0.5米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钛金不锈钢腐刻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桌牌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10*20厘米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亚克力三角牌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制度牌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0.6*0.8米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KT板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约10*13cm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PVC挂式工作牌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胸牌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54*85mm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PVC-UV打印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警示牌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0.3*0.4米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5mmPVC-UV打印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科室牌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30*22cm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铝合金烤漆抽插式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门牌（金属烤漆）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300*180mm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门牌（金属烤漆）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300*220mm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钛金奖牌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0.4*0.6米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钛金+木底奖牌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0.35*0.5米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钛金+木底奖牌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0.4*0.6米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亚克力夹画牌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0.6*0.9米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亚克力+夹画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铝合金三角牌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12*28厘米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铝合金桌牌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发光字（胶包边）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电源根据实际需求另计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发光字（不锈钢包边）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金属字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背打光字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吸塑字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不锈钢背光立体字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不锈钢烤漆立体字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无边发光立体字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厘米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景观字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0.6米以上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平方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特殊工艺另行核价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桁架+喷绘布画面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6*3米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桁架+背景布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1天≤周期≤3天，超时按周期计算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桁架+喷绘布画面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8*4米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桁架+背景布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1天≤周期≤3天，超时按周期计算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桁架+喷绘布画面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低于10平方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桁架+背景布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套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1天≤周期≤3天，超时按周期计算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亚克力强磁桌牌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21*15厘米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亚克力强磁桌牌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21*29.7厘米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亚克力强磁桌牌（异形）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13*17厘米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11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会议台签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20*10厘米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1173" w:type="dxa"/>
            <w:vMerge w:val="restart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其他</w:t>
            </w: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传单（500张起印）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   128克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0.29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传单（500张起印）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   157克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0.32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传单（500张起印）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   157克 折页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0.45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彩打（100张起）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彩打（100张起）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A3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彩打（100张起）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   200克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彩打（100张起）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   200克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彩打（100张起）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A5   250克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彩打（100张起）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   250克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张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袖标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420*140mm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旗帜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640*960mm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旗帜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960*1440mm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旗帜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1280*1920mm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旗帜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2400*1600mm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荣誉证书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荣誉证书礼盒版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A4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意见箱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25*32*11厘米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胸牌卡（1mmPVC打印）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85*54mm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100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胸牌卡卡套+定制伸缩夹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85*54mm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101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工作证（1mmPVC打印）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70*105mm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102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工作证（透明卡套）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70*105mm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103</w:t>
            </w:r>
          </w:p>
        </w:tc>
        <w:tc>
          <w:tcPr>
            <w:tcW w:w="1173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15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工作证（铝合金卡套）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75*120mm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个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  <w:t>/</w:t>
            </w:r>
          </w:p>
        </w:tc>
      </w:tr>
    </w:tbl>
    <w:p>
      <w:pPr>
        <w:pStyle w:val="6"/>
        <w:snapToGrid w:val="0"/>
        <w:spacing w:line="360" w:lineRule="auto"/>
        <w:ind w:firstLine="480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</w:p>
    <w:bookmarkEnd w:id="3"/>
    <w:p>
      <w:pPr>
        <w:pStyle w:val="6"/>
        <w:snapToGrid w:val="0"/>
        <w:spacing w:line="360" w:lineRule="auto"/>
        <w:ind w:firstLine="482" w:firstLineChars="200"/>
        <w:rPr>
          <w:rFonts w:ascii="仿宋" w:hAnsi="仿宋" w:eastAsia="仿宋" w:cs="Arial"/>
          <w:b/>
          <w:bCs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b/>
          <w:bCs/>
          <w:color w:val="auto"/>
          <w:kern w:val="44"/>
          <w:sz w:val="24"/>
          <w:szCs w:val="24"/>
          <w:highlight w:val="none"/>
        </w:rPr>
        <w:t>四、商务要求（实质性要求）</w:t>
      </w:r>
    </w:p>
    <w:p>
      <w:pPr>
        <w:pStyle w:val="6"/>
        <w:snapToGrid w:val="0"/>
        <w:spacing w:line="360" w:lineRule="auto"/>
        <w:ind w:firstLine="482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kern w:val="44"/>
          <w:sz w:val="24"/>
          <w:szCs w:val="24"/>
          <w:highlight w:val="none"/>
        </w:rPr>
        <w:t>★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1、服务期限：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三年，合同一年一签，具体以合同签订时间为准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。</w:t>
      </w:r>
    </w:p>
    <w:p>
      <w:pPr>
        <w:pStyle w:val="6"/>
        <w:snapToGrid w:val="0"/>
        <w:spacing w:line="360" w:lineRule="auto"/>
        <w:ind w:firstLine="482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kern w:val="44"/>
          <w:sz w:val="24"/>
          <w:szCs w:val="24"/>
          <w:highlight w:val="none"/>
        </w:rPr>
        <w:t>★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2、服务地点：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采购人指定地点</w:t>
      </w:r>
    </w:p>
    <w:p>
      <w:pPr>
        <w:pStyle w:val="6"/>
        <w:snapToGrid w:val="0"/>
        <w:spacing w:line="360" w:lineRule="auto"/>
        <w:ind w:firstLine="482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kern w:val="44"/>
          <w:sz w:val="24"/>
          <w:szCs w:val="24"/>
          <w:highlight w:val="none"/>
        </w:rPr>
        <w:t>★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3、付款方式：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3.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1、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供应商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提供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采购人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签字确认的制作采购项目清单，每月一次汇总，每季度结算一次。金额按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采购人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确认的送货单金额据实结算。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3.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2、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供应商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应提供合法、有效、完整的发票等凭证资料，60日内办理付款事项。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4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、履约验收：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4.1、供应商提供的制作服务应符合采购人要求，如出现质量、安装等问题，采购人有权拒收，如给采购人造成延误或损失，供应商应承担相应责任。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4.2、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清单外项目，需要供应商提供定价依据，并按提供的结算依据下浮一定比率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。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4.3、产品质量规格和技术标准依照国家有关标准或双方的约定为准。</w:t>
      </w:r>
    </w:p>
    <w:p>
      <w:pPr>
        <w:pStyle w:val="6"/>
        <w:snapToGrid w:val="0"/>
        <w:spacing w:line="360" w:lineRule="auto"/>
        <w:ind w:firstLine="480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4.4、供应商如无正当理由未能按时制作、安装完成，每逾期一日，供应商应向采购人支付合同总金额的千分之五作为违约金。</w:t>
      </w:r>
    </w:p>
    <w:p>
      <w:pPr>
        <w:pStyle w:val="6"/>
        <w:snapToGrid w:val="0"/>
        <w:spacing w:line="360" w:lineRule="auto"/>
        <w:ind w:firstLine="482" w:firstLineChars="200"/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eastAsia="zh-CN"/>
        </w:rPr>
      </w:pPr>
      <w:r>
        <w:rPr>
          <w:rFonts w:ascii="仿宋" w:hAnsi="仿宋" w:eastAsia="仿宋" w:cs="仿宋"/>
          <w:b/>
          <w:bCs/>
          <w:color w:val="auto"/>
          <w:kern w:val="44"/>
          <w:sz w:val="24"/>
          <w:szCs w:val="24"/>
          <w:highlight w:val="none"/>
        </w:rPr>
        <w:t>★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4.5、供应商需指定一名业务专员和采购人对接需求，按指定时限安排设计、制作、安装至采购人指定地点。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eastAsia="zh-CN"/>
        </w:rPr>
        <w:t>（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至少提供人员身份证、移动电话、在职证明材料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eastAsia="zh-CN"/>
        </w:rPr>
        <w:t>）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5、违约责任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5.1、采购人违约责任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（1） 采购人无正当理由拒收货物的，采购人应偿付合同总价百分之五的违约金；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（2） 采购人逾期支付货款的，除应及时付足货款外，应向供应商偿付欠款总额万分之五/天的违约金；逾期付款超过60天的，供应商有权终止合同；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（3） 采购人偿付的违约金不足以弥补供应商损失的，还应按供应商损失尚未弥补的部分，支付赔偿金给供应商。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5.2、供应商违约责任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（1）供应商交付的货物质量不符合国家标准或合同规定的，供应商应向采购人支付合同总价的百分之五的违约金，并须在合同规定的交货时间内更换合格的货物给采购人，否则，视作供应商不能交付货物而违约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（2）供应商不能交付货物或逾期交付货物而违约的，除应及时交足货物外，应向采购人偿付逾期交货部分货款总额的万分之五/天的违约金；逾期交货超过30天，采购人有权终止合同，供应商则应按合同总价的百分之五的款额向采购人偿付赔偿金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（3）如需经有关部门检测合格后使用的货物，经采购人送交具有法定资格条件的质量技术监督机构检测后，如检测结果认定货物质量不符合本合同规定标准的，则视为供应商没有按时交货而违约，供应商须在30日内无条件更换合格的货物，如逾期不能更换合格的货物，采购人有权终止本合同，供应商应另付合同总价的百分之五的赔偿金给采购人。</w:t>
      </w:r>
    </w:p>
    <w:p>
      <w:pPr>
        <w:pStyle w:val="6"/>
        <w:snapToGrid w:val="0"/>
        <w:spacing w:line="360" w:lineRule="auto"/>
        <w:ind w:firstLine="482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仿宋"/>
          <w:b/>
          <w:bCs/>
          <w:color w:val="auto"/>
          <w:kern w:val="44"/>
          <w:sz w:val="24"/>
          <w:szCs w:val="24"/>
          <w:highlight w:val="none"/>
        </w:rPr>
        <w:t>★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6、报价方式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供应商按统一下浮率进行报价（即，服务清单内所有单价只有一个下浮率），结算单价=单价限价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×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（1-下浮率），结算总价=结算单价</w:t>
      </w:r>
      <w:r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</w:rPr>
        <w:t>×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实际数量，最终结算价不超过采购预算，超过采购预算，采购合同自动终止。</w:t>
      </w:r>
    </w:p>
    <w:p>
      <w:pPr>
        <w:pStyle w:val="6"/>
        <w:snapToGrid w:val="0"/>
        <w:spacing w:line="360" w:lineRule="auto"/>
        <w:ind w:firstLine="482" w:firstLineChars="200"/>
        <w:rPr>
          <w:rFonts w:hint="default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</w:pPr>
      <w:r>
        <w:rPr>
          <w:rFonts w:ascii="仿宋" w:hAnsi="仿宋" w:eastAsia="仿宋" w:cs="仿宋"/>
          <w:b/>
          <w:bCs/>
          <w:color w:val="auto"/>
          <w:kern w:val="44"/>
          <w:sz w:val="24"/>
          <w:szCs w:val="24"/>
          <w:highlight w:val="none"/>
        </w:rPr>
        <w:t>★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7、结算方式：两名成交供应商按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采购人要求提供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服务，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入围供应商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结算下浮率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统一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按下浮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比例最高取值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进行计算，例：成交供应商A下浮率为5%，成交供应商B下浮率为10%，则最终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统一按下浮率10%进行结算</w:t>
      </w:r>
      <w:r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  <w:t>。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若成交供应商不接受结算下浮率的，视为其主动放弃成交资格，由第三成交候选人递补。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12" w:lineRule="auto"/>
        <w:ind w:firstLine="477" w:firstLineChars="198"/>
        <w:textAlignment w:val="auto"/>
        <w:rPr>
          <w:rFonts w:ascii="仿宋" w:hAnsi="仿宋" w:eastAsia="仿宋" w:cs="仿宋"/>
          <w:color w:val="auto"/>
          <w:sz w:val="24"/>
          <w:szCs w:val="24"/>
          <w:highlight w:val="none"/>
        </w:rPr>
      </w:pPr>
      <w:r>
        <w:rPr>
          <w:rFonts w:hint="eastAsia" w:ascii="仿宋" w:hAnsi="仿宋" w:eastAsia="仿宋" w:cs="仿宋"/>
          <w:color w:val="auto"/>
          <w:sz w:val="24"/>
          <w:szCs w:val="24"/>
          <w:highlight w:val="none"/>
        </w:rPr>
        <w:t>四、样品提供要求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1、样品清单。</w:t>
      </w:r>
    </w:p>
    <w:tbl>
      <w:tblPr>
        <w:tblStyle w:val="9"/>
        <w:tblW w:w="82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5"/>
        <w:gridCol w:w="4249"/>
        <w:gridCol w:w="26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6"/>
              <w:snapToGrid w:val="0"/>
              <w:spacing w:line="360" w:lineRule="auto"/>
              <w:ind w:firstLine="480" w:firstLineChars="200"/>
              <w:rPr>
                <w:rFonts w:ascii="仿宋" w:hAnsi="仿宋" w:eastAsia="仿宋" w:cs="Arial"/>
                <w:color w:val="auto"/>
                <w:kern w:val="4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4249" w:type="dxa"/>
            <w:noWrap w:val="0"/>
            <w:vAlign w:val="center"/>
          </w:tcPr>
          <w:p>
            <w:pPr>
              <w:pStyle w:val="6"/>
              <w:snapToGrid w:val="0"/>
              <w:spacing w:line="360" w:lineRule="auto"/>
              <w:ind w:firstLine="480" w:firstLineChars="200"/>
              <w:rPr>
                <w:rFonts w:ascii="仿宋" w:hAnsi="仿宋" w:eastAsia="仿宋" w:cs="Arial"/>
                <w:color w:val="auto"/>
                <w:kern w:val="4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2667" w:type="dxa"/>
            <w:noWrap w:val="0"/>
            <w:vAlign w:val="center"/>
          </w:tcPr>
          <w:p>
            <w:pPr>
              <w:pStyle w:val="6"/>
              <w:snapToGrid w:val="0"/>
              <w:spacing w:line="360" w:lineRule="auto"/>
              <w:ind w:firstLine="480" w:firstLineChars="200"/>
              <w:rPr>
                <w:rFonts w:ascii="仿宋" w:hAnsi="仿宋" w:eastAsia="仿宋" w:cs="Arial"/>
                <w:color w:val="auto"/>
                <w:kern w:val="44"/>
                <w:sz w:val="24"/>
                <w:szCs w:val="24"/>
                <w:highlight w:val="none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</w:rPr>
              <w:t>数量及要求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6"/>
              <w:snapToGrid w:val="0"/>
              <w:spacing w:line="360" w:lineRule="auto"/>
              <w:ind w:firstLine="480" w:firstLineChars="200"/>
              <w:rPr>
                <w:rFonts w:hint="default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  <w:t>78</w:t>
            </w:r>
          </w:p>
        </w:tc>
        <w:tc>
          <w:tcPr>
            <w:tcW w:w="4249" w:type="dxa"/>
            <w:noWrap w:val="0"/>
            <w:vAlign w:val="center"/>
          </w:tcPr>
          <w:p>
            <w:pPr>
              <w:pStyle w:val="6"/>
              <w:snapToGrid w:val="0"/>
              <w:spacing w:line="360" w:lineRule="auto"/>
              <w:jc w:val="left"/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eastAsia="zh-CN"/>
              </w:rPr>
              <w:t>亚克力</w:t>
            </w: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  <w:t>强磁</w:t>
            </w: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eastAsia="zh-CN"/>
              </w:rPr>
              <w:t>桌牌：小于20*10cm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pStyle w:val="6"/>
              <w:snapToGrid w:val="0"/>
              <w:spacing w:line="360" w:lineRule="auto"/>
              <w:jc w:val="left"/>
              <w:rPr>
                <w:rFonts w:hint="default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  <w:t>1个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365" w:type="dxa"/>
            <w:noWrap w:val="0"/>
            <w:vAlign w:val="center"/>
          </w:tcPr>
          <w:p>
            <w:pPr>
              <w:pStyle w:val="6"/>
              <w:snapToGrid w:val="0"/>
              <w:spacing w:line="360" w:lineRule="auto"/>
              <w:ind w:firstLine="480" w:firstLineChars="200"/>
              <w:rPr>
                <w:rFonts w:hint="default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  <w:t>67</w:t>
            </w:r>
          </w:p>
        </w:tc>
        <w:tc>
          <w:tcPr>
            <w:tcW w:w="4249" w:type="dxa"/>
            <w:noWrap w:val="0"/>
            <w:vAlign w:val="center"/>
          </w:tcPr>
          <w:p>
            <w:pPr>
              <w:pStyle w:val="6"/>
              <w:snapToGrid w:val="0"/>
              <w:spacing w:line="360" w:lineRule="auto"/>
              <w:jc w:val="left"/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eastAsia="zh-CN"/>
              </w:rPr>
              <w:t>金属字：“办公室”黑体，15</w:t>
            </w: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  <w:t>cm</w:t>
            </w: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eastAsia="zh-CN"/>
              </w:rPr>
              <w:t>*15</w:t>
            </w: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  <w:t>cm（±1%）</w:t>
            </w:r>
          </w:p>
        </w:tc>
        <w:tc>
          <w:tcPr>
            <w:tcW w:w="2667" w:type="dxa"/>
            <w:noWrap w:val="0"/>
            <w:vAlign w:val="top"/>
          </w:tcPr>
          <w:p>
            <w:pPr>
              <w:pStyle w:val="6"/>
              <w:snapToGrid w:val="0"/>
              <w:spacing w:line="360" w:lineRule="auto"/>
              <w:jc w:val="left"/>
              <w:rPr>
                <w:rFonts w:hint="default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auto"/>
                <w:kern w:val="44"/>
                <w:sz w:val="24"/>
                <w:szCs w:val="24"/>
                <w:highlight w:val="none"/>
                <w:lang w:val="en-US" w:eastAsia="zh-CN"/>
              </w:rPr>
              <w:t>1套</w:t>
            </w:r>
          </w:p>
        </w:tc>
      </w:tr>
    </w:tbl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2、送样时间：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 xml:space="preserve">应在开标当日开标截至时间前将样品送至送样地点。 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3、送样地点：成都市龙泉驿区桃都大道吾悦广场写字楼1712室。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4、所提供样品应为盲样（含外包装箱、防尘袋）。即所提供样品中不得出现任何可识别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或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生产厂商的文字、logo、图文等信息，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也不能出现任何可能涉及侵犯知识产权相关的图案、用语、标识等，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若有将被视为无效样品，现场退还，但不影响其响应文件的有效性，对应样品评审项得分为 0 分。（现场随机编号，以便评审）。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5、各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按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文件要求递交的所有样品均用纸箱密封在一个包装箱内，外包装上只标明项目名称、项目编号。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6、所有样品应按照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磋商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文件的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样品清单及相关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要求进行制作。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7、样品的生产、安装、运输费、保管费等一切费用由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eastAsia="zh-CN"/>
        </w:rPr>
        <w:t>供应商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自行承担。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8、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须自备评审结束以后样品封样的纸箱和封箱带等所需物品。</w:t>
      </w:r>
    </w:p>
    <w:p>
      <w:pPr>
        <w:pStyle w:val="6"/>
        <w:snapToGrid w:val="0"/>
        <w:spacing w:line="360" w:lineRule="auto"/>
        <w:ind w:firstLine="480" w:firstLineChars="200"/>
        <w:rPr>
          <w:rFonts w:ascii="仿宋" w:hAnsi="仿宋" w:eastAsia="仿宋" w:cs="Arial"/>
          <w:color w:val="auto"/>
          <w:kern w:val="44"/>
          <w:sz w:val="24"/>
          <w:szCs w:val="24"/>
          <w:highlight w:val="none"/>
        </w:rPr>
      </w:pP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9、评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审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结束以后在监督人员监督下，各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供应商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自行对本单位样品封样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  <w:lang w:val="en-US" w:eastAsia="zh-CN"/>
        </w:rPr>
        <w:t>领回，结果公告发布后，未成交的供应商可自行解封样品，成交供应商需将密封完整的样品送至采购人处作为履约验收条件，未按要求送达的，自行承担相关不利后果</w:t>
      </w:r>
      <w:r>
        <w:rPr>
          <w:rFonts w:hint="eastAsia" w:ascii="仿宋" w:hAnsi="仿宋" w:eastAsia="仿宋" w:cs="Arial"/>
          <w:color w:val="auto"/>
          <w:kern w:val="44"/>
          <w:sz w:val="24"/>
          <w:szCs w:val="24"/>
          <w:highlight w:val="none"/>
        </w:rPr>
        <w:t>。</w:t>
      </w:r>
    </w:p>
    <w:p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kMjQ1NmMxNTEwOWQxNjI2MDQzOGMxZDBlMzkzYzQifQ=="/>
  </w:docVars>
  <w:rsids>
    <w:rsidRoot w:val="00000000"/>
    <w:rsid w:val="1B052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kern w:val="0"/>
      <w:sz w:val="32"/>
      <w:szCs w:val="32"/>
      <w:lang w:val="zh-CN"/>
    </w:rPr>
  </w:style>
  <w:style w:type="character" w:default="1" w:styleId="10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  <w:rPr>
      <w:rFonts w:eastAsia="宋体"/>
      <w:szCs w:val="24"/>
    </w:rPr>
  </w:style>
  <w:style w:type="paragraph" w:styleId="6">
    <w:name w:val="Plain Text"/>
    <w:basedOn w:val="1"/>
    <w:next w:val="7"/>
    <w:qFormat/>
    <w:uiPriority w:val="0"/>
    <w:pPr>
      <w:autoSpaceDE w:val="0"/>
      <w:autoSpaceDN w:val="0"/>
      <w:adjustRightInd w:val="0"/>
    </w:pPr>
    <w:rPr>
      <w:rFonts w:hint="eastAsia" w:ascii="宋体" w:hAnsi="Tms Rmn" w:eastAsia="宋体" w:cs="宋体"/>
    </w:rPr>
  </w:style>
  <w:style w:type="paragraph" w:styleId="7">
    <w:name w:val="toc 2"/>
    <w:basedOn w:val="1"/>
    <w:next w:val="1"/>
    <w:unhideWhenUsed/>
    <w:qFormat/>
    <w:uiPriority w:val="39"/>
    <w:pPr>
      <w:ind w:left="420" w:leftChars="200"/>
    </w:pPr>
  </w:style>
  <w:style w:type="table" w:styleId="9">
    <w:name w:val="Table Grid"/>
    <w:basedOn w:val="8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4153</Words>
  <Characters>5016</Characters>
  <Lines>0</Lines>
  <Paragraphs>0</Paragraphs>
  <TotalTime>0</TotalTime>
  <ScaleCrop>false</ScaleCrop>
  <LinksUpToDate>false</LinksUpToDate>
  <CharactersWithSpaces>5046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2023-07-10T07:10:06Z</dcterms:created>
  <dc:creator>ASUS</dc:creator>
  <cp:lastModifiedBy>D</cp:lastModifiedBy>
  <dcterms:modified xsi:type="dcterms:W3CDTF">2023-07-10T07:10:09Z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C76FA256166D4EB5832AF92D18882C4D_12</vt:lpwstr>
  </property>
</Properties>
</file>