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仿宋" w:hAnsi="仿宋" w:eastAsia="仿宋"/>
          <w:b/>
          <w:spacing w:val="40"/>
          <w:sz w:val="36"/>
          <w:szCs w:val="36"/>
        </w:rPr>
      </w:pPr>
      <w:bookmarkStart w:id="21" w:name="_GoBack"/>
      <w:bookmarkEnd w:id="21"/>
    </w:p>
    <w:p>
      <w:pPr>
        <w:spacing w:line="800" w:lineRule="exact"/>
        <w:jc w:val="center"/>
        <w:rPr>
          <w:rFonts w:ascii="仿宋" w:hAnsi="仿宋" w:eastAsia="仿宋"/>
          <w:b/>
          <w:sz w:val="48"/>
          <w:szCs w:val="48"/>
        </w:rPr>
      </w:pPr>
      <w:r>
        <w:rPr>
          <w:rFonts w:hint="eastAsia" w:ascii="仿宋" w:hAnsi="仿宋" w:eastAsia="仿宋"/>
          <w:b/>
          <w:sz w:val="48"/>
          <w:szCs w:val="48"/>
        </w:rPr>
        <w:t>成都市龙泉驿区中医医院</w:t>
      </w:r>
    </w:p>
    <w:p>
      <w:pPr>
        <w:spacing w:line="800" w:lineRule="exact"/>
        <w:jc w:val="center"/>
        <w:rPr>
          <w:rFonts w:hint="eastAsia" w:ascii="仿宋" w:hAnsi="仿宋" w:eastAsia="仿宋"/>
          <w:b/>
          <w:spacing w:val="78"/>
          <w:sz w:val="84"/>
          <w:szCs w:val="84"/>
        </w:rPr>
      </w:pPr>
      <w:r>
        <w:rPr>
          <w:rFonts w:hint="eastAsia" w:ascii="仿宋" w:hAnsi="仿宋" w:eastAsia="仿宋"/>
          <w:b/>
          <w:sz w:val="48"/>
          <w:szCs w:val="48"/>
        </w:rPr>
        <w:t>采购代理机构比选项目</w:t>
      </w:r>
    </w:p>
    <w:p>
      <w:pPr>
        <w:spacing w:line="800" w:lineRule="exact"/>
        <w:jc w:val="center"/>
        <w:rPr>
          <w:rFonts w:hint="eastAsia" w:ascii="仿宋" w:hAnsi="仿宋" w:eastAsia="仿宋"/>
          <w:b/>
          <w:spacing w:val="78"/>
          <w:sz w:val="84"/>
          <w:szCs w:val="84"/>
        </w:rPr>
      </w:pPr>
    </w:p>
    <w:p>
      <w:pPr>
        <w:spacing w:line="800" w:lineRule="exact"/>
        <w:jc w:val="center"/>
        <w:rPr>
          <w:rFonts w:ascii="仿宋" w:hAnsi="仿宋" w:eastAsia="仿宋"/>
          <w:b/>
          <w:spacing w:val="78"/>
          <w:sz w:val="84"/>
          <w:szCs w:val="84"/>
        </w:rPr>
      </w:pPr>
    </w:p>
    <w:p>
      <w:pPr>
        <w:spacing w:line="800" w:lineRule="exact"/>
        <w:jc w:val="center"/>
        <w:rPr>
          <w:rFonts w:hint="eastAsia" w:ascii="仿宋" w:hAnsi="仿宋" w:eastAsia="仿宋"/>
          <w:b/>
          <w:spacing w:val="78"/>
          <w:sz w:val="84"/>
          <w:szCs w:val="84"/>
        </w:rPr>
      </w:pPr>
    </w:p>
    <w:p>
      <w:pPr>
        <w:spacing w:line="800" w:lineRule="exact"/>
        <w:jc w:val="center"/>
        <w:rPr>
          <w:rFonts w:hint="eastAsia" w:ascii="仿宋" w:hAnsi="仿宋" w:eastAsia="仿宋"/>
          <w:b/>
          <w:spacing w:val="78"/>
          <w:sz w:val="72"/>
          <w:szCs w:val="72"/>
        </w:rPr>
      </w:pPr>
      <w:r>
        <w:rPr>
          <w:rFonts w:hint="eastAsia" w:ascii="仿宋" w:hAnsi="仿宋" w:eastAsia="仿宋"/>
          <w:b/>
          <w:spacing w:val="78"/>
          <w:sz w:val="72"/>
          <w:szCs w:val="72"/>
        </w:rPr>
        <w:t>比</w:t>
      </w:r>
    </w:p>
    <w:p>
      <w:pPr>
        <w:spacing w:line="800" w:lineRule="exact"/>
        <w:jc w:val="center"/>
        <w:rPr>
          <w:rFonts w:hint="eastAsia" w:ascii="仿宋" w:hAnsi="仿宋" w:eastAsia="仿宋"/>
          <w:b/>
          <w:spacing w:val="78"/>
          <w:sz w:val="72"/>
          <w:szCs w:val="72"/>
        </w:rPr>
      </w:pPr>
      <w:r>
        <w:rPr>
          <w:rFonts w:hint="eastAsia" w:ascii="仿宋" w:hAnsi="仿宋" w:eastAsia="仿宋"/>
          <w:b/>
          <w:spacing w:val="78"/>
          <w:sz w:val="72"/>
          <w:szCs w:val="72"/>
        </w:rPr>
        <w:t>选</w:t>
      </w:r>
    </w:p>
    <w:p>
      <w:pPr>
        <w:spacing w:line="800" w:lineRule="exact"/>
        <w:jc w:val="center"/>
        <w:rPr>
          <w:rFonts w:hint="eastAsia" w:ascii="仿宋" w:hAnsi="仿宋" w:eastAsia="仿宋"/>
          <w:b/>
          <w:spacing w:val="78"/>
          <w:sz w:val="72"/>
          <w:szCs w:val="72"/>
        </w:rPr>
      </w:pPr>
      <w:r>
        <w:rPr>
          <w:rFonts w:hint="eastAsia" w:ascii="仿宋" w:hAnsi="仿宋" w:eastAsia="仿宋"/>
          <w:b/>
          <w:spacing w:val="78"/>
          <w:sz w:val="72"/>
          <w:szCs w:val="72"/>
        </w:rPr>
        <w:t>文</w:t>
      </w:r>
    </w:p>
    <w:p>
      <w:pPr>
        <w:spacing w:line="800" w:lineRule="exact"/>
        <w:jc w:val="center"/>
        <w:rPr>
          <w:rFonts w:hint="eastAsia" w:ascii="仿宋" w:hAnsi="仿宋" w:eastAsia="仿宋"/>
          <w:b/>
          <w:spacing w:val="78"/>
          <w:sz w:val="72"/>
          <w:szCs w:val="72"/>
        </w:rPr>
      </w:pPr>
      <w:r>
        <w:rPr>
          <w:rFonts w:hint="eastAsia" w:ascii="仿宋" w:hAnsi="仿宋" w:eastAsia="仿宋"/>
          <w:b/>
          <w:spacing w:val="78"/>
          <w:sz w:val="72"/>
          <w:szCs w:val="72"/>
        </w:rPr>
        <w:t>件</w:t>
      </w:r>
    </w:p>
    <w:p>
      <w:pPr>
        <w:jc w:val="left"/>
        <w:rPr>
          <w:rFonts w:hint="eastAsia" w:ascii="仿宋" w:hAnsi="仿宋" w:eastAsia="仿宋"/>
          <w:b/>
          <w:spacing w:val="40"/>
          <w:sz w:val="48"/>
          <w:szCs w:val="48"/>
        </w:rPr>
      </w:pPr>
    </w:p>
    <w:p>
      <w:pPr>
        <w:jc w:val="left"/>
        <w:rPr>
          <w:rFonts w:hint="eastAsia" w:ascii="仿宋" w:hAnsi="仿宋" w:eastAsia="仿宋"/>
          <w:b/>
          <w:spacing w:val="40"/>
          <w:sz w:val="48"/>
          <w:szCs w:val="48"/>
        </w:rPr>
      </w:pPr>
    </w:p>
    <w:p>
      <w:pPr>
        <w:jc w:val="left"/>
        <w:rPr>
          <w:rFonts w:hint="eastAsia" w:ascii="仿宋" w:hAnsi="仿宋" w:eastAsia="仿宋"/>
          <w:b/>
          <w:spacing w:val="40"/>
          <w:sz w:val="48"/>
          <w:szCs w:val="48"/>
        </w:rPr>
      </w:pPr>
    </w:p>
    <w:p>
      <w:pPr>
        <w:spacing w:line="240" w:lineRule="atLeast"/>
        <w:jc w:val="center"/>
        <w:rPr>
          <w:rFonts w:hint="eastAsia" w:ascii="仿宋" w:hAnsi="仿宋" w:eastAsia="仿宋"/>
          <w:b/>
          <w:sz w:val="36"/>
          <w:szCs w:val="36"/>
        </w:rPr>
      </w:pPr>
      <w:r>
        <w:rPr>
          <w:rFonts w:hint="eastAsia" w:ascii="仿宋" w:hAnsi="仿宋" w:eastAsia="仿宋"/>
          <w:b/>
          <w:sz w:val="36"/>
          <w:szCs w:val="36"/>
        </w:rPr>
        <w:t>成都市龙泉驿区中医医院</w:t>
      </w:r>
    </w:p>
    <w:p>
      <w:pPr>
        <w:spacing w:line="240" w:lineRule="atLeast"/>
        <w:jc w:val="center"/>
        <w:rPr>
          <w:rFonts w:ascii="仿宋" w:hAnsi="仿宋" w:eastAsia="仿宋"/>
          <w:b/>
          <w:sz w:val="36"/>
          <w:szCs w:val="36"/>
        </w:rPr>
      </w:pPr>
      <w:r>
        <w:rPr>
          <w:rFonts w:hint="eastAsia" w:ascii="仿宋" w:hAnsi="仿宋" w:eastAsia="仿宋"/>
          <w:b/>
          <w:sz w:val="36"/>
          <w:szCs w:val="36"/>
        </w:rPr>
        <w:t>二〇二二年三月</w:t>
      </w:r>
    </w:p>
    <w:p>
      <w:pPr>
        <w:jc w:val="center"/>
        <w:rPr>
          <w:rFonts w:hint="eastAsia" w:ascii="仿宋" w:hAnsi="仿宋" w:eastAsia="仿宋"/>
          <w:b/>
          <w:szCs w:val="21"/>
        </w:rPr>
      </w:pPr>
    </w:p>
    <w:p>
      <w:pPr>
        <w:jc w:val="center"/>
        <w:rPr>
          <w:rFonts w:hint="eastAsia" w:ascii="仿宋" w:hAnsi="仿宋" w:eastAsia="仿宋"/>
          <w:b/>
          <w:szCs w:val="21"/>
        </w:rPr>
      </w:pPr>
    </w:p>
    <w:p>
      <w:pPr>
        <w:jc w:val="center"/>
        <w:rPr>
          <w:rFonts w:ascii="仿宋" w:hAnsi="仿宋" w:eastAsia="仿宋"/>
          <w:b/>
          <w:szCs w:val="21"/>
        </w:rPr>
      </w:pPr>
    </w:p>
    <w:p>
      <w:pPr>
        <w:jc w:val="center"/>
        <w:rPr>
          <w:rFonts w:ascii="仿宋" w:hAnsi="仿宋" w:eastAsia="仿宋"/>
          <w:b/>
          <w:szCs w:val="21"/>
        </w:rPr>
      </w:pPr>
    </w:p>
    <w:p>
      <w:pPr>
        <w:jc w:val="center"/>
        <w:rPr>
          <w:rFonts w:hint="eastAsia" w:ascii="仿宋" w:hAnsi="仿宋" w:eastAsia="仿宋"/>
          <w:b/>
          <w:szCs w:val="21"/>
        </w:rPr>
      </w:pPr>
    </w:p>
    <w:p>
      <w:pPr>
        <w:pStyle w:val="2"/>
        <w:spacing w:line="360" w:lineRule="auto"/>
        <w:jc w:val="center"/>
        <w:rPr>
          <w:rFonts w:hint="eastAsia" w:ascii="仿宋" w:hAnsi="仿宋" w:eastAsia="仿宋"/>
        </w:rPr>
      </w:pPr>
      <w:r>
        <w:rPr>
          <w:rFonts w:hint="eastAsia" w:ascii="仿宋" w:hAnsi="仿宋" w:eastAsia="仿宋"/>
          <w:sz w:val="24"/>
          <w:szCs w:val="24"/>
        </w:rPr>
        <w:br w:type="page"/>
      </w:r>
      <w:bookmarkStart w:id="0" w:name="_Toc467940124"/>
      <w:r>
        <w:rPr>
          <w:rFonts w:hint="eastAsia" w:ascii="仿宋" w:hAnsi="仿宋" w:eastAsia="仿宋"/>
        </w:rPr>
        <w:t>第一章</w:t>
      </w:r>
      <w:r>
        <w:rPr>
          <w:rFonts w:ascii="仿宋" w:hAnsi="仿宋" w:eastAsia="仿宋"/>
        </w:rPr>
        <w:t xml:space="preserve"> </w:t>
      </w:r>
      <w:r>
        <w:rPr>
          <w:rFonts w:hint="eastAsia" w:ascii="仿宋" w:hAnsi="仿宋" w:eastAsia="仿宋"/>
        </w:rPr>
        <w:t>比选申请人须知</w:t>
      </w:r>
      <w:bookmarkEnd w:id="0"/>
    </w:p>
    <w:p>
      <w:pPr>
        <w:pStyle w:val="3"/>
        <w:jc w:val="center"/>
        <w:rPr>
          <w:rFonts w:hint="eastAsia" w:ascii="仿宋" w:hAnsi="仿宋" w:eastAsia="仿宋"/>
        </w:rPr>
      </w:pPr>
      <w:bookmarkStart w:id="1" w:name="_Toc467940125"/>
      <w:bookmarkStart w:id="2" w:name="_Toc279052245"/>
      <w:r>
        <w:rPr>
          <w:rFonts w:hint="eastAsia" w:ascii="仿宋" w:hAnsi="仿宋" w:eastAsia="仿宋"/>
          <w:sz w:val="28"/>
          <w:szCs w:val="28"/>
        </w:rPr>
        <w:t>一、比选须知前附表</w:t>
      </w:r>
      <w:bookmarkEnd w:id="1"/>
      <w:bookmarkEnd w:id="2"/>
    </w:p>
    <w:tbl>
      <w:tblPr>
        <w:tblStyle w:val="17"/>
        <w:tblW w:w="9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2405"/>
        <w:gridCol w:w="6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96" w:hRule="atLeast"/>
          <w:jc w:val="center"/>
        </w:trPr>
        <w:tc>
          <w:tcPr>
            <w:tcW w:w="850" w:type="dxa"/>
            <w:noWrap w:val="0"/>
            <w:vAlign w:val="center"/>
          </w:tcPr>
          <w:p>
            <w:pPr>
              <w:widowControl/>
              <w:adjustRightInd w:val="0"/>
              <w:snapToGrid w:val="0"/>
              <w:spacing w:line="380" w:lineRule="exact"/>
              <w:jc w:val="center"/>
              <w:rPr>
                <w:rFonts w:hint="eastAsia" w:ascii="仿宋" w:hAnsi="仿宋" w:eastAsia="仿宋"/>
                <w:b/>
                <w:sz w:val="24"/>
                <w:szCs w:val="24"/>
              </w:rPr>
            </w:pPr>
            <w:r>
              <w:rPr>
                <w:rFonts w:hint="eastAsia" w:ascii="仿宋" w:hAnsi="仿宋" w:eastAsia="仿宋"/>
                <w:b/>
                <w:sz w:val="24"/>
                <w:szCs w:val="24"/>
              </w:rPr>
              <w:t>序号</w:t>
            </w:r>
          </w:p>
        </w:tc>
        <w:tc>
          <w:tcPr>
            <w:tcW w:w="2405" w:type="dxa"/>
            <w:noWrap w:val="0"/>
            <w:vAlign w:val="center"/>
          </w:tcPr>
          <w:p>
            <w:pPr>
              <w:widowControl/>
              <w:adjustRightInd w:val="0"/>
              <w:snapToGrid w:val="0"/>
              <w:spacing w:line="380" w:lineRule="exact"/>
              <w:jc w:val="center"/>
              <w:rPr>
                <w:rFonts w:hint="eastAsia" w:ascii="仿宋" w:hAnsi="仿宋" w:eastAsia="仿宋"/>
                <w:b/>
                <w:sz w:val="24"/>
                <w:szCs w:val="24"/>
              </w:rPr>
            </w:pPr>
            <w:r>
              <w:rPr>
                <w:rFonts w:hint="eastAsia" w:ascii="仿宋" w:hAnsi="仿宋" w:eastAsia="仿宋"/>
                <w:b/>
                <w:sz w:val="24"/>
                <w:szCs w:val="24"/>
              </w:rPr>
              <w:t>内容</w:t>
            </w:r>
          </w:p>
        </w:tc>
        <w:tc>
          <w:tcPr>
            <w:tcW w:w="6677" w:type="dxa"/>
            <w:noWrap w:val="0"/>
            <w:vAlign w:val="center"/>
          </w:tcPr>
          <w:p>
            <w:pPr>
              <w:widowControl/>
              <w:adjustRightInd w:val="0"/>
              <w:snapToGrid w:val="0"/>
              <w:spacing w:line="380" w:lineRule="exact"/>
              <w:jc w:val="center"/>
              <w:rPr>
                <w:rFonts w:hint="eastAsia" w:ascii="仿宋" w:hAnsi="仿宋" w:eastAsia="仿宋"/>
                <w:b/>
                <w:sz w:val="24"/>
                <w:szCs w:val="24"/>
              </w:rPr>
            </w:pPr>
            <w:r>
              <w:rPr>
                <w:rFonts w:hint="eastAsia" w:ascii="仿宋" w:hAnsi="仿宋" w:eastAsia="仿宋"/>
                <w:b/>
                <w:sz w:val="24"/>
                <w:szCs w:val="24"/>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89" w:hRule="atLeast"/>
          <w:jc w:val="center"/>
        </w:trPr>
        <w:tc>
          <w:tcPr>
            <w:tcW w:w="850" w:type="dxa"/>
            <w:noWrap w:val="0"/>
            <w:vAlign w:val="center"/>
          </w:tcPr>
          <w:p>
            <w:pPr>
              <w:widowControl/>
              <w:adjustRightInd w:val="0"/>
              <w:snapToGrid w:val="0"/>
              <w:spacing w:line="380" w:lineRule="exact"/>
              <w:jc w:val="center"/>
              <w:rPr>
                <w:rFonts w:hint="eastAsia" w:ascii="仿宋" w:hAnsi="仿宋" w:eastAsia="仿宋"/>
                <w:sz w:val="24"/>
                <w:szCs w:val="24"/>
              </w:rPr>
            </w:pPr>
            <w:r>
              <w:rPr>
                <w:rFonts w:hint="eastAsia" w:ascii="仿宋" w:hAnsi="仿宋" w:eastAsia="仿宋"/>
                <w:sz w:val="24"/>
                <w:szCs w:val="24"/>
              </w:rPr>
              <w:t>1</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比选人</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成都市龙泉驿区中医医院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70" w:hRule="atLeast"/>
          <w:jc w:val="center"/>
        </w:trPr>
        <w:tc>
          <w:tcPr>
            <w:tcW w:w="850" w:type="dxa"/>
            <w:noWrap w:val="0"/>
            <w:vAlign w:val="center"/>
          </w:tcPr>
          <w:p>
            <w:pPr>
              <w:widowControl/>
              <w:adjustRightInd w:val="0"/>
              <w:snapToGrid w:val="0"/>
              <w:spacing w:line="380" w:lineRule="exact"/>
              <w:jc w:val="center"/>
              <w:rPr>
                <w:rFonts w:hint="eastAsia" w:ascii="仿宋" w:hAnsi="仿宋" w:eastAsia="仿宋"/>
                <w:sz w:val="24"/>
                <w:szCs w:val="24"/>
              </w:rPr>
            </w:pPr>
            <w:r>
              <w:rPr>
                <w:rFonts w:hint="eastAsia" w:ascii="仿宋" w:hAnsi="仿宋" w:eastAsia="仿宋"/>
                <w:sz w:val="24"/>
                <w:szCs w:val="24"/>
              </w:rPr>
              <w:t>2</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项目名称</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成都市龙泉驿区中医医院采购代理机构比选项目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77" w:hRule="atLeast"/>
          <w:jc w:val="center"/>
        </w:trPr>
        <w:tc>
          <w:tcPr>
            <w:tcW w:w="850" w:type="dxa"/>
            <w:noWrap w:val="0"/>
            <w:vAlign w:val="center"/>
          </w:tcPr>
          <w:p>
            <w:pPr>
              <w:widowControl/>
              <w:adjustRightInd w:val="0"/>
              <w:snapToGrid w:val="0"/>
              <w:spacing w:line="380" w:lineRule="exact"/>
              <w:jc w:val="center"/>
              <w:rPr>
                <w:rFonts w:hint="eastAsia" w:ascii="仿宋" w:hAnsi="仿宋" w:eastAsia="仿宋"/>
                <w:sz w:val="24"/>
                <w:szCs w:val="24"/>
              </w:rPr>
            </w:pPr>
            <w:r>
              <w:rPr>
                <w:rFonts w:hint="eastAsia" w:ascii="仿宋" w:hAnsi="仿宋" w:eastAsia="仿宋"/>
                <w:sz w:val="24"/>
                <w:szCs w:val="24"/>
              </w:rPr>
              <w:t>3</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代理要求</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严格按照《中华人民共和国政府采购法》、《中华人民共和国政府采购法实施条例》、《机电产品国际招标投标实施办法》等招标采购相关法律法规的要求，对我单位指定项目进行招标采购代理。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77" w:hRule="atLeast"/>
          <w:jc w:val="center"/>
        </w:trPr>
        <w:tc>
          <w:tcPr>
            <w:tcW w:w="850" w:type="dxa"/>
            <w:noWrap w:val="0"/>
            <w:vAlign w:val="center"/>
          </w:tcPr>
          <w:p>
            <w:pPr>
              <w:widowControl/>
              <w:adjustRightInd w:val="0"/>
              <w:snapToGrid w:val="0"/>
              <w:spacing w:line="380" w:lineRule="exact"/>
              <w:jc w:val="center"/>
              <w:rPr>
                <w:rFonts w:hint="eastAsia" w:ascii="仿宋" w:hAnsi="仿宋" w:eastAsia="仿宋"/>
                <w:sz w:val="24"/>
                <w:szCs w:val="24"/>
              </w:rPr>
            </w:pPr>
            <w:r>
              <w:rPr>
                <w:rFonts w:hint="eastAsia" w:ascii="仿宋" w:hAnsi="仿宋" w:eastAsia="仿宋"/>
                <w:sz w:val="24"/>
                <w:szCs w:val="24"/>
              </w:rPr>
              <w:t>4</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服务期</w:t>
            </w:r>
            <w:r>
              <w:rPr>
                <w:rFonts w:ascii="仿宋" w:hAnsi="仿宋" w:eastAsia="仿宋"/>
                <w:sz w:val="24"/>
                <w:szCs w:val="24"/>
              </w:rPr>
              <w:t>限</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三年，合同一年一签，在上一年度服务满意的前提下比选人可以决定续签下一年合同。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135" w:hRule="atLeast"/>
          <w:jc w:val="center"/>
        </w:trPr>
        <w:tc>
          <w:tcPr>
            <w:tcW w:w="850" w:type="dxa"/>
            <w:noWrap w:val="0"/>
            <w:vAlign w:val="center"/>
          </w:tcPr>
          <w:p>
            <w:pPr>
              <w:widowControl/>
              <w:adjustRightInd w:val="0"/>
              <w:snapToGrid w:val="0"/>
              <w:spacing w:line="380" w:lineRule="exact"/>
              <w:jc w:val="center"/>
              <w:rPr>
                <w:rFonts w:hint="eastAsia" w:ascii="仿宋" w:hAnsi="仿宋" w:eastAsia="仿宋"/>
                <w:sz w:val="24"/>
                <w:szCs w:val="24"/>
              </w:rPr>
            </w:pPr>
            <w:r>
              <w:rPr>
                <w:rFonts w:ascii="仿宋" w:hAnsi="仿宋" w:eastAsia="仿宋"/>
                <w:sz w:val="24"/>
                <w:szCs w:val="24"/>
              </w:rPr>
              <w:t>5</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比选申请人资格要求</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1、在中华人民共和国境内注册，具有独立法人资格的合法企业；</w:t>
            </w:r>
          </w:p>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2、具有政府采购项目的代理资格；（须提供财政部门官方政府采购网站上的网络登记网页证明材料）；</w:t>
            </w:r>
          </w:p>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3、参加本次比选活动前三年内，在经营活动中没有重大违法记录；</w:t>
            </w:r>
          </w:p>
          <w:p>
            <w:pPr>
              <w:widowControl/>
              <w:adjustRightInd w:val="0"/>
              <w:snapToGrid w:val="0"/>
              <w:spacing w:line="380" w:lineRule="exact"/>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、本项目不接受联合体参与。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135" w:hRule="atLeast"/>
          <w:jc w:val="center"/>
        </w:trPr>
        <w:tc>
          <w:tcPr>
            <w:tcW w:w="850" w:type="dxa"/>
            <w:noWrap w:val="0"/>
            <w:vAlign w:val="center"/>
          </w:tcPr>
          <w:p>
            <w:pPr>
              <w:widowControl/>
              <w:adjustRightInd w:val="0"/>
              <w:snapToGrid w:val="0"/>
              <w:spacing w:line="380" w:lineRule="exact"/>
              <w:jc w:val="center"/>
              <w:rPr>
                <w:rFonts w:ascii="仿宋" w:hAnsi="仿宋" w:eastAsia="仿宋"/>
                <w:sz w:val="24"/>
                <w:szCs w:val="24"/>
              </w:rPr>
            </w:pPr>
            <w:r>
              <w:rPr>
                <w:rFonts w:hint="eastAsia" w:ascii="仿宋" w:hAnsi="仿宋" w:eastAsia="仿宋"/>
                <w:sz w:val="24"/>
                <w:szCs w:val="24"/>
              </w:rPr>
              <w:t>6</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递交比选申请书截止时间/地点</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cs="宋体"/>
                <w:kern w:val="1"/>
                <w:sz w:val="24"/>
                <w:szCs w:val="24"/>
              </w:rPr>
              <w:t>202</w:t>
            </w:r>
            <w:r>
              <w:rPr>
                <w:rFonts w:ascii="仿宋" w:hAnsi="仿宋" w:eastAsia="仿宋" w:cs="宋体"/>
                <w:kern w:val="1"/>
                <w:sz w:val="24"/>
                <w:szCs w:val="24"/>
              </w:rPr>
              <w:t>2</w:t>
            </w:r>
            <w:r>
              <w:rPr>
                <w:rFonts w:hint="eastAsia" w:ascii="仿宋" w:hAnsi="仿宋" w:eastAsia="仿宋" w:cs="宋体"/>
                <w:kern w:val="1"/>
                <w:sz w:val="24"/>
                <w:szCs w:val="24"/>
              </w:rPr>
              <w:t>年3月11日14：00-14：30，地点：成都市龙泉驿区中医医院门诊7楼会议室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135" w:hRule="atLeast"/>
          <w:jc w:val="center"/>
        </w:trPr>
        <w:tc>
          <w:tcPr>
            <w:tcW w:w="850" w:type="dxa"/>
            <w:noWrap w:val="0"/>
            <w:vAlign w:val="center"/>
          </w:tcPr>
          <w:p>
            <w:pPr>
              <w:widowControl/>
              <w:adjustRightInd w:val="0"/>
              <w:snapToGrid w:val="0"/>
              <w:spacing w:line="380" w:lineRule="exact"/>
              <w:jc w:val="center"/>
              <w:rPr>
                <w:rFonts w:ascii="仿宋" w:hAnsi="仿宋" w:eastAsia="仿宋"/>
                <w:sz w:val="24"/>
                <w:szCs w:val="24"/>
              </w:rPr>
            </w:pPr>
            <w:r>
              <w:rPr>
                <w:rFonts w:hint="eastAsia" w:ascii="仿宋" w:hAnsi="仿宋" w:eastAsia="仿宋"/>
                <w:sz w:val="24"/>
                <w:szCs w:val="24"/>
              </w:rPr>
              <w:t>7</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比选人联系方式</w:t>
            </w:r>
          </w:p>
        </w:tc>
        <w:tc>
          <w:tcPr>
            <w:tcW w:w="6677" w:type="dxa"/>
            <w:noWrap w:val="0"/>
            <w:vAlign w:val="center"/>
          </w:tcPr>
          <w:p>
            <w:pPr>
              <w:spacing w:line="276" w:lineRule="auto"/>
              <w:rPr>
                <w:rFonts w:hint="eastAsia" w:ascii="仿宋" w:hAnsi="仿宋" w:eastAsia="仿宋" w:cs="宋体"/>
                <w:kern w:val="1"/>
                <w:sz w:val="24"/>
                <w:szCs w:val="24"/>
              </w:rPr>
            </w:pPr>
            <w:r>
              <w:rPr>
                <w:rFonts w:hint="eastAsia" w:ascii="仿宋" w:hAnsi="仿宋" w:eastAsia="仿宋" w:cs="宋体"/>
                <w:kern w:val="1"/>
                <w:sz w:val="24"/>
                <w:szCs w:val="24"/>
              </w:rPr>
              <w:t>比选人：成都市龙泉驿区中医医院</w:t>
            </w:r>
          </w:p>
          <w:p>
            <w:pPr>
              <w:spacing w:line="276" w:lineRule="auto"/>
              <w:rPr>
                <w:rFonts w:hint="eastAsia" w:ascii="仿宋" w:hAnsi="仿宋" w:eastAsia="仿宋" w:cs="宋体"/>
                <w:kern w:val="1"/>
                <w:sz w:val="24"/>
                <w:szCs w:val="24"/>
              </w:rPr>
            </w:pPr>
            <w:r>
              <w:rPr>
                <w:rFonts w:hint="eastAsia" w:ascii="仿宋" w:hAnsi="仿宋" w:eastAsia="仿宋" w:cs="宋体"/>
                <w:kern w:val="1"/>
                <w:sz w:val="24"/>
                <w:szCs w:val="24"/>
              </w:rPr>
              <w:t>地址：成都市龙泉驿区龙泉镇建设路68号</w:t>
            </w:r>
          </w:p>
          <w:p>
            <w:pPr>
              <w:spacing w:line="276" w:lineRule="auto"/>
              <w:rPr>
                <w:rFonts w:hint="eastAsia" w:ascii="仿宋" w:hAnsi="仿宋" w:eastAsia="仿宋" w:cs="宋体"/>
                <w:kern w:val="1"/>
                <w:sz w:val="24"/>
                <w:szCs w:val="24"/>
              </w:rPr>
            </w:pPr>
            <w:r>
              <w:rPr>
                <w:rFonts w:hint="eastAsia" w:ascii="仿宋" w:hAnsi="仿宋" w:eastAsia="仿宋" w:cs="宋体"/>
                <w:kern w:val="1"/>
                <w:sz w:val="24"/>
                <w:szCs w:val="24"/>
              </w:rPr>
              <w:t>联系人： 董老师</w:t>
            </w:r>
          </w:p>
          <w:p>
            <w:pPr>
              <w:widowControl/>
              <w:adjustRightInd w:val="0"/>
              <w:snapToGrid w:val="0"/>
              <w:spacing w:line="380" w:lineRule="exact"/>
              <w:rPr>
                <w:rFonts w:hint="eastAsia" w:ascii="仿宋" w:hAnsi="仿宋" w:eastAsia="仿宋"/>
                <w:sz w:val="24"/>
                <w:szCs w:val="24"/>
              </w:rPr>
            </w:pPr>
            <w:r>
              <w:rPr>
                <w:rFonts w:hint="eastAsia" w:ascii="仿宋" w:hAnsi="仿宋" w:eastAsia="仿宋" w:cs="宋体"/>
                <w:kern w:val="1"/>
                <w:sz w:val="24"/>
                <w:szCs w:val="24"/>
              </w:rPr>
              <w:t>联系电话：60613137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836" w:hRule="atLeast"/>
          <w:jc w:val="center"/>
        </w:trPr>
        <w:tc>
          <w:tcPr>
            <w:tcW w:w="850" w:type="dxa"/>
            <w:noWrap w:val="0"/>
            <w:vAlign w:val="center"/>
          </w:tcPr>
          <w:p>
            <w:pPr>
              <w:widowControl/>
              <w:adjustRightInd w:val="0"/>
              <w:snapToGrid w:val="0"/>
              <w:spacing w:line="380" w:lineRule="exact"/>
              <w:jc w:val="center"/>
              <w:rPr>
                <w:rFonts w:hint="eastAsia" w:ascii="仿宋" w:hAnsi="仿宋" w:eastAsia="仿宋"/>
                <w:sz w:val="24"/>
                <w:szCs w:val="24"/>
              </w:rPr>
            </w:pPr>
            <w:r>
              <w:rPr>
                <w:rFonts w:hint="eastAsia" w:ascii="仿宋" w:hAnsi="仿宋" w:eastAsia="仿宋"/>
                <w:sz w:val="24"/>
                <w:szCs w:val="24"/>
              </w:rPr>
              <w:t>8</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比选申请书份数</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一份正本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836" w:hRule="atLeast"/>
          <w:jc w:val="center"/>
        </w:trPr>
        <w:tc>
          <w:tcPr>
            <w:tcW w:w="850" w:type="dxa"/>
            <w:noWrap w:val="0"/>
            <w:vAlign w:val="center"/>
          </w:tcPr>
          <w:p>
            <w:pPr>
              <w:widowControl/>
              <w:adjustRightInd w:val="0"/>
              <w:snapToGrid w:val="0"/>
              <w:spacing w:line="380" w:lineRule="exact"/>
              <w:jc w:val="center"/>
              <w:rPr>
                <w:rFonts w:hint="eastAsia" w:ascii="仿宋" w:hAnsi="仿宋" w:eastAsia="仿宋"/>
                <w:sz w:val="24"/>
                <w:szCs w:val="24"/>
              </w:rPr>
            </w:pPr>
            <w:r>
              <w:rPr>
                <w:rFonts w:hint="eastAsia" w:ascii="仿宋" w:hAnsi="仿宋" w:eastAsia="仿宋"/>
                <w:sz w:val="24"/>
                <w:szCs w:val="24"/>
              </w:rPr>
              <w:t>9</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评审方法</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836" w:hRule="atLeast"/>
          <w:jc w:val="center"/>
        </w:trPr>
        <w:tc>
          <w:tcPr>
            <w:tcW w:w="850" w:type="dxa"/>
            <w:noWrap w:val="0"/>
            <w:vAlign w:val="center"/>
          </w:tcPr>
          <w:p>
            <w:pPr>
              <w:widowControl/>
              <w:adjustRightInd w:val="0"/>
              <w:snapToGrid w:val="0"/>
              <w:spacing w:line="380" w:lineRule="exact"/>
              <w:jc w:val="center"/>
              <w:rPr>
                <w:rFonts w:ascii="仿宋" w:hAnsi="仿宋" w:eastAsia="仿宋"/>
                <w:sz w:val="24"/>
                <w:szCs w:val="24"/>
              </w:rPr>
            </w:pPr>
            <w:r>
              <w:rPr>
                <w:rFonts w:hint="eastAsia" w:ascii="仿宋" w:hAnsi="仿宋" w:eastAsia="仿宋"/>
                <w:sz w:val="24"/>
                <w:szCs w:val="24"/>
              </w:rPr>
              <w:t>10</w:t>
            </w:r>
          </w:p>
        </w:tc>
        <w:tc>
          <w:tcPr>
            <w:tcW w:w="2405" w:type="dxa"/>
            <w:noWrap w:val="0"/>
            <w:vAlign w:val="center"/>
          </w:tcPr>
          <w:p>
            <w:pPr>
              <w:widowControl/>
              <w:adjustRightInd w:val="0"/>
              <w:snapToGrid w:val="0"/>
              <w:spacing w:line="380" w:lineRule="exact"/>
              <w:rPr>
                <w:rFonts w:hint="eastAsia" w:ascii="仿宋" w:hAnsi="仿宋" w:eastAsia="仿宋"/>
                <w:sz w:val="24"/>
                <w:szCs w:val="24"/>
              </w:rPr>
            </w:pPr>
            <w:r>
              <w:rPr>
                <w:rFonts w:hint="eastAsia" w:ascii="仿宋" w:hAnsi="仿宋" w:eastAsia="仿宋"/>
                <w:sz w:val="24"/>
                <w:szCs w:val="24"/>
              </w:rPr>
              <w:t>中选家数</w:t>
            </w:r>
          </w:p>
        </w:tc>
        <w:tc>
          <w:tcPr>
            <w:tcW w:w="6677" w:type="dxa"/>
            <w:noWrap w:val="0"/>
            <w:vAlign w:val="center"/>
          </w:tcPr>
          <w:p>
            <w:pPr>
              <w:widowControl/>
              <w:adjustRightInd w:val="0"/>
              <w:snapToGrid w:val="0"/>
              <w:spacing w:line="380" w:lineRule="exact"/>
              <w:rPr>
                <w:rFonts w:hint="eastAsia" w:ascii="仿宋" w:hAnsi="仿宋" w:eastAsia="仿宋"/>
                <w:sz w:val="24"/>
                <w:szCs w:val="24"/>
              </w:rPr>
            </w:pPr>
            <w:r>
              <w:rPr>
                <w:rFonts w:ascii="仿宋" w:hAnsi="仿宋" w:eastAsia="仿宋"/>
                <w:sz w:val="24"/>
                <w:szCs w:val="24"/>
              </w:rPr>
              <w:t>2</w:t>
            </w:r>
            <w:r>
              <w:rPr>
                <w:rFonts w:hint="eastAsia" w:ascii="仿宋" w:hAnsi="仿宋" w:eastAsia="仿宋"/>
                <w:sz w:val="24"/>
                <w:szCs w:val="24"/>
              </w:rPr>
              <w:t>家</w:t>
            </w:r>
          </w:p>
        </w:tc>
      </w:tr>
    </w:tbl>
    <w:p>
      <w:pPr>
        <w:pStyle w:val="3"/>
        <w:jc w:val="center"/>
        <w:rPr>
          <w:rFonts w:hint="eastAsia" w:ascii="仿宋" w:hAnsi="仿宋" w:eastAsia="仿宋"/>
          <w:sz w:val="28"/>
          <w:szCs w:val="28"/>
        </w:rPr>
      </w:pPr>
      <w:bookmarkStart w:id="3" w:name="_Toc467940126"/>
      <w:r>
        <w:rPr>
          <w:rFonts w:hint="eastAsia" w:ascii="仿宋" w:hAnsi="仿宋" w:eastAsia="仿宋"/>
          <w:sz w:val="28"/>
          <w:szCs w:val="28"/>
        </w:rPr>
        <w:t>二、总则</w:t>
      </w:r>
      <w:bookmarkEnd w:id="3"/>
    </w:p>
    <w:p>
      <w:pPr>
        <w:pStyle w:val="5"/>
        <w:adjustRightInd w:val="0"/>
        <w:snapToGrid w:val="0"/>
        <w:spacing w:before="0" w:after="0" w:line="360" w:lineRule="auto"/>
        <w:ind w:firstLine="562" w:firstLineChars="200"/>
        <w:rPr>
          <w:rFonts w:hint="eastAsia" w:ascii="仿宋" w:hAnsi="仿宋" w:eastAsia="仿宋"/>
        </w:rPr>
      </w:pPr>
      <w:bookmarkStart w:id="4" w:name="_Toc467940127"/>
      <w:r>
        <w:rPr>
          <w:rFonts w:hint="eastAsia" w:ascii="仿宋" w:hAnsi="仿宋" w:eastAsia="仿宋"/>
        </w:rPr>
        <w:t>1、比选文件及有关定义</w:t>
      </w:r>
      <w:bookmarkEnd w:id="4"/>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1.1比选申请人应仔细阅读本比选文件，按比选文件的规定和要求编写比选申请书。</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1.2 有关定义</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1.2</w:t>
      </w:r>
      <w:r>
        <w:rPr>
          <w:rFonts w:ascii="仿宋" w:hAnsi="仿宋" w:eastAsia="仿宋"/>
          <w:sz w:val="28"/>
          <w:szCs w:val="28"/>
        </w:rPr>
        <w:t>.</w:t>
      </w:r>
      <w:r>
        <w:rPr>
          <w:rFonts w:hint="eastAsia" w:ascii="仿宋" w:hAnsi="仿宋" w:eastAsia="仿宋"/>
          <w:sz w:val="28"/>
          <w:szCs w:val="28"/>
        </w:rPr>
        <w:t>1 “比选人”系指</w:t>
      </w:r>
      <w:r>
        <w:rPr>
          <w:rFonts w:hint="eastAsia" w:ascii="仿宋" w:hAnsi="仿宋" w:eastAsia="仿宋"/>
          <w:b/>
          <w:sz w:val="28"/>
          <w:szCs w:val="28"/>
          <w:u w:val="single"/>
        </w:rPr>
        <w:t>成都市龙泉驿区中医医院</w:t>
      </w:r>
      <w:r>
        <w:rPr>
          <w:rFonts w:hint="eastAsia" w:ascii="仿宋" w:hAnsi="仿宋" w:eastAsia="仿宋"/>
          <w:sz w:val="28"/>
          <w:szCs w:val="28"/>
        </w:rPr>
        <w:t>。</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1.2</w:t>
      </w:r>
      <w:r>
        <w:rPr>
          <w:rFonts w:ascii="仿宋" w:hAnsi="仿宋" w:eastAsia="仿宋"/>
          <w:sz w:val="28"/>
          <w:szCs w:val="28"/>
        </w:rPr>
        <w:t>.</w:t>
      </w:r>
      <w:r>
        <w:rPr>
          <w:rFonts w:hint="eastAsia" w:ascii="仿宋" w:hAnsi="仿宋" w:eastAsia="仿宋"/>
          <w:sz w:val="28"/>
          <w:szCs w:val="28"/>
        </w:rPr>
        <w:t>2 “比选申请人” 系指拟参加比选并愿意向比选人提供相应服务的采购代理机构。</w:t>
      </w:r>
    </w:p>
    <w:p>
      <w:pPr>
        <w:pStyle w:val="5"/>
        <w:adjustRightInd w:val="0"/>
        <w:snapToGrid w:val="0"/>
        <w:spacing w:before="0" w:after="0" w:line="360" w:lineRule="auto"/>
        <w:ind w:firstLine="562" w:firstLineChars="200"/>
        <w:rPr>
          <w:rFonts w:hint="eastAsia" w:ascii="仿宋" w:hAnsi="仿宋" w:eastAsia="仿宋"/>
        </w:rPr>
      </w:pPr>
      <w:bookmarkStart w:id="5" w:name="_Toc467940128"/>
      <w:r>
        <w:rPr>
          <w:rFonts w:hint="eastAsia" w:ascii="仿宋" w:hAnsi="仿宋" w:eastAsia="仿宋"/>
        </w:rPr>
        <w:t>2、比选报价</w:t>
      </w:r>
      <w:bookmarkEnd w:id="5"/>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比选申请人应按原国家计委计价格[2002]1980号及发改办价格[2003]857号文的标准进行报价。</w:t>
      </w:r>
    </w:p>
    <w:p>
      <w:pPr>
        <w:pStyle w:val="5"/>
        <w:adjustRightInd w:val="0"/>
        <w:snapToGrid w:val="0"/>
        <w:spacing w:before="0" w:after="0" w:line="360" w:lineRule="auto"/>
        <w:ind w:firstLine="562" w:firstLineChars="200"/>
        <w:rPr>
          <w:rFonts w:hint="eastAsia" w:ascii="仿宋" w:hAnsi="仿宋" w:eastAsia="仿宋"/>
        </w:rPr>
      </w:pPr>
      <w:bookmarkStart w:id="6" w:name="_Toc467940129"/>
      <w:r>
        <w:rPr>
          <w:rFonts w:hint="eastAsia" w:ascii="仿宋" w:hAnsi="仿宋" w:eastAsia="仿宋"/>
        </w:rPr>
        <w:t>3、比选申请书</w:t>
      </w:r>
      <w:bookmarkEnd w:id="6"/>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3.1 比选申请书的编制</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3.1.1 比选申请书的格式</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比选申请书应按第三章“比选申请书格式”进行编写，至少包括“比选申请书格式”的各项内容。本比选文件要求提供的证明文件，比选申请人必须提供；本比选文件没有要求提供的证明文件，比选申请人认为需要提供的，也可以提供。</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3.1.2 比选申请书应全部用不褪色的墨水（粉）书写或打印，不得有任何涂改。</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3.1.3 比选申请书必须用中文书写。</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3.2 比选申请书的密封和标识等要求</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3.2.1比选申请人应在比选申请书封面加盖申请单位公章；</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3.2.2 比选申请书的密封与标识</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比选申请书的外包装应保证其密封性。封套上应清楚地载明比选申请人的名称、项目名称等。</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注：没有按照本章3.2条要求进行密封和标识的，比选人有权根据具体情况拒绝接收比选申请人的申请文件。</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3.3比选申请书的递交</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比选申请书应该在第一章中规定的比选申请书递交截止时间前提交，否则比选人将拒绝接收。</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3.4 比选申请书应包括（但不限于）：法定代表人授权书、报价、采购代理机构组织结构及资格信息、在川办公场地情况、采购代理机构简介、拟投入本项目的招标采购代理人员情况、招标采购代理初步方案、采购代理机构代理业绩等内容。</w:t>
      </w:r>
    </w:p>
    <w:p>
      <w:pPr>
        <w:pStyle w:val="5"/>
        <w:adjustRightInd w:val="0"/>
        <w:snapToGrid w:val="0"/>
        <w:spacing w:before="0" w:after="0" w:line="360" w:lineRule="auto"/>
        <w:ind w:firstLine="562" w:firstLineChars="200"/>
        <w:rPr>
          <w:rFonts w:hint="eastAsia" w:ascii="仿宋" w:hAnsi="仿宋" w:eastAsia="仿宋"/>
        </w:rPr>
      </w:pPr>
      <w:bookmarkStart w:id="7" w:name="_Toc467940130"/>
      <w:r>
        <w:rPr>
          <w:rFonts w:hint="eastAsia" w:ascii="仿宋" w:hAnsi="仿宋" w:eastAsia="仿宋"/>
        </w:rPr>
        <w:t>4、评审</w:t>
      </w:r>
      <w:bookmarkEnd w:id="7"/>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4.1 评审委员会的组建</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评审工作由比选人组建的评审委员会负责，评审委员会成员人数为3人（含3人）以上单数。</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4.2 比选活动在比选文件约定的地方进行。</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4.3 比选程序</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4.3.1比选人在监督人员监督的情况下，开封所有比选申请书;</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4.3.2评审委员会对比选申请文件进行初步审查，初审不合格的按照无效申请文件处理，初审具体内容如下：</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（1）是否按照比选文件要求进行签署和盖章；</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（2）提供的营业执照（没有实行三证合一的申请单位，还须提供有效的组织机构代码证和税务登记证）是否有效；</w:t>
      </w:r>
    </w:p>
    <w:p>
      <w:pPr>
        <w:widowControl/>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（3）是否具有政府采购的代理资格（须提供财政部门官方政府采购网站上的网络登记网页证明材料）；</w:t>
      </w:r>
    </w:p>
    <w:p>
      <w:pPr>
        <w:widowControl/>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（4）是否具有在参加本次比选活动前三年内，在经营活动中没有重大违法记录的承诺函原件。</w:t>
      </w:r>
    </w:p>
    <w:p>
      <w:pPr>
        <w:widowControl/>
        <w:adjustRightInd w:val="0"/>
        <w:snapToGrid w:val="0"/>
        <w:spacing w:line="360" w:lineRule="auto"/>
        <w:ind w:firstLine="560" w:firstLineChars="200"/>
        <w:jc w:val="left"/>
        <w:rPr>
          <w:rFonts w:hint="eastAsia" w:ascii="仿宋" w:hAnsi="仿宋" w:eastAsia="仿宋"/>
          <w:sz w:val="28"/>
          <w:szCs w:val="28"/>
        </w:rPr>
      </w:pPr>
      <w:r>
        <w:rPr>
          <w:rFonts w:ascii="仿宋" w:hAnsi="仿宋" w:eastAsia="仿宋"/>
          <w:sz w:val="28"/>
          <w:szCs w:val="28"/>
        </w:rPr>
        <w:t>注</w:t>
      </w:r>
      <w:r>
        <w:rPr>
          <w:rFonts w:hint="eastAsia" w:ascii="仿宋" w:hAnsi="仿宋" w:eastAsia="仿宋"/>
          <w:sz w:val="28"/>
          <w:szCs w:val="28"/>
        </w:rPr>
        <w:t>：重大违法是指比选申请人因违法经营受到刑事处罚或者责令停产停业、吊销许可证或者执照和较大数额罚款。</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4.3.3 评审委员会根据综合得分情况，由高到低进行排序，综合得分最高的申请人为中选人。综合得分相同的，按比选报价由低到高顺序排列。得分且比选报价相同的，按服务方案得分高低顺序排列。得分、比选报价和服务方案得分均相同的，由比选人自行确定。</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4.4 评审委员会有权对比选申请书提出澄清，比选申请人应予以配合，若不予以配合的，比选申请书无效。</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4.5 比选人应当对比选申请人报送的比选申请书内容保密。</w:t>
      </w:r>
    </w:p>
    <w:p>
      <w:pPr>
        <w:pStyle w:val="5"/>
        <w:adjustRightInd w:val="0"/>
        <w:snapToGrid w:val="0"/>
        <w:spacing w:before="0" w:after="0" w:line="360" w:lineRule="auto"/>
        <w:ind w:firstLine="562" w:firstLineChars="200"/>
        <w:rPr>
          <w:rFonts w:hint="eastAsia" w:ascii="仿宋" w:hAnsi="仿宋" w:eastAsia="仿宋"/>
        </w:rPr>
      </w:pPr>
      <w:bookmarkStart w:id="8" w:name="_Toc467940131"/>
      <w:r>
        <w:rPr>
          <w:rFonts w:hint="eastAsia" w:ascii="仿宋" w:hAnsi="仿宋" w:eastAsia="仿宋"/>
        </w:rPr>
        <w:t>5、中选</w:t>
      </w:r>
      <w:bookmarkEnd w:id="8"/>
    </w:p>
    <w:p>
      <w:pPr>
        <w:widowControl/>
        <w:adjustRightInd w:val="0"/>
        <w:snapToGrid w:val="0"/>
        <w:spacing w:line="360" w:lineRule="auto"/>
        <w:ind w:firstLine="560" w:firstLineChars="200"/>
        <w:jc w:val="left"/>
        <w:rPr>
          <w:rFonts w:ascii="仿宋" w:hAnsi="仿宋" w:eastAsia="仿宋"/>
          <w:sz w:val="28"/>
          <w:szCs w:val="28"/>
        </w:rPr>
      </w:pPr>
      <w:bookmarkStart w:id="9" w:name="_Toc467940132"/>
      <w:r>
        <w:rPr>
          <w:rFonts w:hint="eastAsia" w:ascii="仿宋" w:hAnsi="仿宋" w:eastAsia="仿宋"/>
          <w:sz w:val="28"/>
          <w:szCs w:val="28"/>
        </w:rPr>
        <w:t>比选人将确定综合得分排名（由高到低）第一、第二的申请人为中选人。排名前面的中选人主动放弃中选或因不可抗力提出不能履行合同的，比选人可以按得分高低顺序依次替补。比选人将向中选人发出中选通知书。</w:t>
      </w:r>
    </w:p>
    <w:p>
      <w:pPr>
        <w:pStyle w:val="5"/>
        <w:adjustRightInd w:val="0"/>
        <w:snapToGrid w:val="0"/>
        <w:spacing w:before="0" w:after="0" w:line="360" w:lineRule="auto"/>
        <w:ind w:firstLine="562" w:firstLineChars="200"/>
        <w:rPr>
          <w:rFonts w:ascii="仿宋" w:hAnsi="仿宋" w:eastAsia="仿宋"/>
        </w:rPr>
      </w:pPr>
      <w:r>
        <w:rPr>
          <w:rFonts w:hint="eastAsia" w:ascii="仿宋" w:hAnsi="仿宋" w:eastAsia="仿宋"/>
        </w:rPr>
        <w:t>6、重新组织比选</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有效比选申请文件少于3个的，比选人将重新组织比选。</w:t>
      </w:r>
    </w:p>
    <w:p>
      <w:pPr>
        <w:pStyle w:val="5"/>
        <w:adjustRightInd w:val="0"/>
        <w:snapToGrid w:val="0"/>
        <w:spacing w:before="0" w:after="0" w:line="360" w:lineRule="auto"/>
        <w:ind w:firstLine="562" w:firstLineChars="200"/>
        <w:rPr>
          <w:rFonts w:hint="eastAsia" w:ascii="仿宋" w:hAnsi="仿宋" w:eastAsia="仿宋"/>
        </w:rPr>
      </w:pPr>
      <w:r>
        <w:rPr>
          <w:rFonts w:hint="eastAsia" w:ascii="仿宋" w:hAnsi="仿宋" w:eastAsia="仿宋"/>
        </w:rPr>
        <w:t>7、委托代理合同</w:t>
      </w:r>
      <w:bookmarkEnd w:id="9"/>
    </w:p>
    <w:p>
      <w:pPr>
        <w:widowControl/>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比选人将在中选通知书发出之日起7个工作日内与中选人订立书面《招标采购委托代理合同》。</w:t>
      </w:r>
    </w:p>
    <w:p>
      <w:pPr>
        <w:pStyle w:val="2"/>
        <w:spacing w:line="360" w:lineRule="auto"/>
        <w:jc w:val="center"/>
        <w:rPr>
          <w:rFonts w:ascii="仿宋" w:hAnsi="仿宋" w:eastAsia="仿宋"/>
        </w:rPr>
      </w:pPr>
      <w:r>
        <w:rPr>
          <w:rFonts w:ascii="仿宋" w:hAnsi="仿宋" w:eastAsia="仿宋"/>
          <w:sz w:val="28"/>
          <w:szCs w:val="28"/>
        </w:rPr>
        <w:br w:type="page"/>
      </w:r>
      <w:bookmarkStart w:id="10" w:name="_Toc467940141"/>
      <w:bookmarkStart w:id="11" w:name="_Toc467940133"/>
      <w:r>
        <w:rPr>
          <w:rFonts w:hint="eastAsia" w:ascii="仿宋" w:hAnsi="仿宋" w:eastAsia="仿宋"/>
        </w:rPr>
        <w:t>第二章 评分标准</w:t>
      </w:r>
      <w:bookmarkEnd w:id="10"/>
    </w:p>
    <w:p>
      <w:pPr>
        <w:pStyle w:val="5"/>
        <w:adjustRightInd w:val="0"/>
        <w:snapToGrid w:val="0"/>
        <w:spacing w:before="0" w:after="0" w:line="600" w:lineRule="exact"/>
        <w:ind w:firstLine="562" w:firstLineChars="200"/>
        <w:rPr>
          <w:rFonts w:ascii="仿宋" w:hAnsi="仿宋" w:eastAsia="仿宋"/>
        </w:rPr>
      </w:pPr>
      <w:bookmarkStart w:id="12" w:name="_Toc467940142"/>
      <w:r>
        <w:rPr>
          <w:rFonts w:hint="eastAsia" w:ascii="仿宋" w:hAnsi="仿宋" w:eastAsia="仿宋"/>
        </w:rPr>
        <w:t>1、评分办法</w:t>
      </w:r>
      <w:bookmarkEnd w:id="12"/>
    </w:p>
    <w:p>
      <w:pPr>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本次比选采用综合评分法，由</w:t>
      </w:r>
      <w:r>
        <w:rPr>
          <w:rFonts w:hint="eastAsia" w:ascii="仿宋" w:hAnsi="仿宋" w:eastAsia="仿宋" w:cs="宋体"/>
          <w:kern w:val="0"/>
          <w:sz w:val="28"/>
          <w:szCs w:val="28"/>
        </w:rPr>
        <w:t>比选</w:t>
      </w:r>
      <w:r>
        <w:rPr>
          <w:rFonts w:hint="eastAsia" w:ascii="仿宋" w:hAnsi="仿宋" w:eastAsia="仿宋"/>
          <w:sz w:val="28"/>
          <w:szCs w:val="28"/>
        </w:rPr>
        <w:t>评审委员会各成员独立对通过资格性审查的比选书进行评审和打分，各位评委得分的算术平均数为投标人的最终得分。</w:t>
      </w:r>
    </w:p>
    <w:p>
      <w:pPr>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评分的取值按四舍五入法，保留小数点后两位。</w:t>
      </w:r>
    </w:p>
    <w:p>
      <w:pPr>
        <w:adjustRightInd w:val="0"/>
        <w:snapToGrid w:val="0"/>
        <w:spacing w:line="600" w:lineRule="exact"/>
        <w:ind w:firstLine="560"/>
        <w:rPr>
          <w:rFonts w:hint="eastAsia" w:ascii="仿宋" w:hAnsi="仿宋" w:eastAsia="仿宋"/>
          <w:sz w:val="28"/>
          <w:szCs w:val="28"/>
        </w:rPr>
      </w:pPr>
      <w:r>
        <w:rPr>
          <w:rFonts w:hint="eastAsia" w:ascii="仿宋" w:hAnsi="仿宋" w:eastAsia="仿宋"/>
          <w:sz w:val="28"/>
          <w:szCs w:val="28"/>
        </w:rPr>
        <w:t>评标得分＝（F</w:t>
      </w:r>
      <w:r>
        <w:rPr>
          <w:rFonts w:hint="eastAsia" w:ascii="仿宋" w:hAnsi="仿宋" w:eastAsia="仿宋"/>
          <w:sz w:val="28"/>
          <w:szCs w:val="28"/>
          <w:vertAlign w:val="subscript"/>
        </w:rPr>
        <w:t>1</w:t>
      </w:r>
      <w:r>
        <w:rPr>
          <w:rFonts w:hint="eastAsia" w:ascii="仿宋" w:hAnsi="仿宋" w:eastAsia="仿宋"/>
          <w:sz w:val="28"/>
          <w:szCs w:val="28"/>
        </w:rPr>
        <w:t>＋F</w:t>
      </w:r>
      <w:r>
        <w:rPr>
          <w:rFonts w:hint="eastAsia" w:ascii="仿宋" w:hAnsi="仿宋" w:eastAsia="仿宋"/>
          <w:sz w:val="28"/>
          <w:szCs w:val="28"/>
          <w:vertAlign w:val="subscript"/>
        </w:rPr>
        <w:t>2</w:t>
      </w:r>
      <w:r>
        <w:rPr>
          <w:rFonts w:hint="eastAsia" w:ascii="仿宋" w:hAnsi="仿宋" w:eastAsia="仿宋"/>
          <w:sz w:val="28"/>
          <w:szCs w:val="28"/>
        </w:rPr>
        <w:t>＋……＋F</w:t>
      </w:r>
      <w:r>
        <w:rPr>
          <w:rFonts w:hint="eastAsia" w:ascii="仿宋" w:hAnsi="仿宋" w:eastAsia="仿宋"/>
          <w:sz w:val="28"/>
          <w:szCs w:val="28"/>
          <w:vertAlign w:val="subscript"/>
        </w:rPr>
        <w:t>n</w:t>
      </w:r>
      <w:r>
        <w:rPr>
          <w:rFonts w:hint="eastAsia" w:ascii="仿宋" w:hAnsi="仿宋" w:eastAsia="仿宋"/>
          <w:sz w:val="28"/>
          <w:szCs w:val="28"/>
        </w:rPr>
        <w:t xml:space="preserve">）/n </w:t>
      </w:r>
    </w:p>
    <w:p>
      <w:pPr>
        <w:adjustRightInd w:val="0"/>
        <w:snapToGrid w:val="0"/>
        <w:spacing w:line="600" w:lineRule="exact"/>
        <w:ind w:firstLine="560"/>
        <w:rPr>
          <w:rFonts w:hint="eastAsia" w:ascii="仿宋" w:hAnsi="仿宋" w:eastAsia="仿宋"/>
          <w:sz w:val="28"/>
          <w:szCs w:val="28"/>
        </w:rPr>
      </w:pPr>
      <w:r>
        <w:rPr>
          <w:rFonts w:hint="eastAsia" w:ascii="仿宋" w:hAnsi="仿宋" w:eastAsia="仿宋"/>
          <w:sz w:val="28"/>
          <w:szCs w:val="28"/>
        </w:rPr>
        <w:t>F</w:t>
      </w:r>
      <w:r>
        <w:rPr>
          <w:rFonts w:hint="eastAsia" w:ascii="仿宋" w:hAnsi="仿宋" w:eastAsia="仿宋"/>
          <w:sz w:val="28"/>
          <w:szCs w:val="28"/>
          <w:vertAlign w:val="subscript"/>
        </w:rPr>
        <w:t>1</w:t>
      </w:r>
      <w:r>
        <w:rPr>
          <w:rFonts w:hint="eastAsia" w:ascii="仿宋" w:hAnsi="仿宋" w:eastAsia="仿宋"/>
          <w:sz w:val="28"/>
          <w:szCs w:val="28"/>
        </w:rPr>
        <w:t>、F</w:t>
      </w:r>
      <w:r>
        <w:rPr>
          <w:rFonts w:hint="eastAsia" w:ascii="仿宋" w:hAnsi="仿宋" w:eastAsia="仿宋"/>
          <w:sz w:val="28"/>
          <w:szCs w:val="28"/>
          <w:vertAlign w:val="subscript"/>
        </w:rPr>
        <w:t>2</w:t>
      </w:r>
      <w:r>
        <w:rPr>
          <w:rFonts w:hint="eastAsia" w:ascii="仿宋" w:hAnsi="仿宋" w:eastAsia="仿宋"/>
          <w:sz w:val="28"/>
          <w:szCs w:val="28"/>
        </w:rPr>
        <w:t>……F</w:t>
      </w:r>
      <w:r>
        <w:rPr>
          <w:rFonts w:hint="eastAsia" w:ascii="仿宋" w:hAnsi="仿宋" w:eastAsia="仿宋"/>
          <w:sz w:val="28"/>
          <w:szCs w:val="28"/>
          <w:vertAlign w:val="subscript"/>
        </w:rPr>
        <w:t>n</w:t>
      </w:r>
      <w:r>
        <w:rPr>
          <w:rFonts w:hint="eastAsia" w:ascii="仿宋" w:hAnsi="仿宋" w:eastAsia="仿宋"/>
          <w:sz w:val="28"/>
          <w:szCs w:val="28"/>
        </w:rPr>
        <w:t>分别为每个评委的打分。</w:t>
      </w:r>
    </w:p>
    <w:p>
      <w:pPr>
        <w:pStyle w:val="5"/>
        <w:adjustRightInd w:val="0"/>
        <w:snapToGrid w:val="0"/>
        <w:spacing w:before="0" w:after="0" w:line="600" w:lineRule="exact"/>
        <w:ind w:firstLine="562" w:firstLineChars="200"/>
        <w:rPr>
          <w:rFonts w:ascii="仿宋" w:hAnsi="仿宋" w:eastAsia="仿宋"/>
        </w:rPr>
      </w:pPr>
      <w:bookmarkStart w:id="13" w:name="_Toc467940143"/>
      <w:r>
        <w:rPr>
          <w:rFonts w:hint="eastAsia" w:ascii="仿宋" w:hAnsi="仿宋" w:eastAsia="仿宋"/>
        </w:rPr>
        <w:t>2、评分标准</w:t>
      </w:r>
      <w:bookmarkEnd w:id="13"/>
    </w:p>
    <w:tbl>
      <w:tblPr>
        <w:tblStyle w:val="17"/>
        <w:tblW w:w="6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20"/>
        <w:gridCol w:w="909"/>
        <w:gridCol w:w="666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rPr>
                <w:rFonts w:ascii="仿宋" w:hAnsi="仿宋" w:eastAsia="仿宋"/>
                <w:sz w:val="24"/>
                <w:szCs w:val="24"/>
              </w:rPr>
            </w:pPr>
            <w:r>
              <w:rPr>
                <w:rFonts w:hint="eastAsia" w:ascii="仿宋" w:hAnsi="仿宋" w:eastAsia="仿宋"/>
                <w:sz w:val="24"/>
                <w:szCs w:val="24"/>
              </w:rPr>
              <w:t>序号</w:t>
            </w:r>
          </w:p>
        </w:tc>
        <w:tc>
          <w:tcPr>
            <w:tcW w:w="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ascii="仿宋" w:hAnsi="仿宋" w:eastAsia="仿宋"/>
                <w:sz w:val="24"/>
                <w:szCs w:val="24"/>
              </w:rPr>
            </w:pPr>
            <w:r>
              <w:rPr>
                <w:rFonts w:hint="eastAsia" w:ascii="仿宋" w:hAnsi="仿宋" w:eastAsia="仿宋"/>
                <w:sz w:val="24"/>
                <w:szCs w:val="24"/>
              </w:rPr>
              <w:t>评分因素及权重</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ascii="仿宋" w:hAnsi="仿宋" w:eastAsia="仿宋"/>
                <w:sz w:val="24"/>
                <w:szCs w:val="24"/>
              </w:rPr>
            </w:pPr>
            <w:r>
              <w:rPr>
                <w:rFonts w:hint="eastAsia" w:ascii="仿宋" w:hAnsi="仿宋" w:eastAsia="仿宋"/>
                <w:sz w:val="24"/>
                <w:szCs w:val="24"/>
              </w:rPr>
              <w:t>分值</w:t>
            </w:r>
          </w:p>
        </w:tc>
        <w:tc>
          <w:tcPr>
            <w:tcW w:w="3118"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ascii="仿宋" w:hAnsi="仿宋" w:eastAsia="仿宋"/>
                <w:sz w:val="24"/>
                <w:szCs w:val="24"/>
              </w:rPr>
            </w:pPr>
            <w:r>
              <w:rPr>
                <w:rFonts w:hint="eastAsia" w:ascii="仿宋" w:hAnsi="仿宋" w:eastAsia="仿宋"/>
                <w:sz w:val="24"/>
                <w:szCs w:val="24"/>
              </w:rPr>
              <w:t>评分标准</w:t>
            </w:r>
          </w:p>
        </w:tc>
        <w:tc>
          <w:tcPr>
            <w:tcW w:w="44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bCs/>
                <w:sz w:val="24"/>
                <w:szCs w:val="24"/>
              </w:rPr>
            </w:pPr>
            <w:r>
              <w:rPr>
                <w:rFonts w:ascii="仿宋" w:hAnsi="仿宋" w:eastAsia="仿宋"/>
                <w:bCs/>
                <w:sz w:val="24"/>
                <w:szCs w:val="24"/>
              </w:rPr>
              <w:t>1</w:t>
            </w:r>
          </w:p>
        </w:tc>
        <w:tc>
          <w:tcPr>
            <w:tcW w:w="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bCs/>
                <w:sz w:val="24"/>
                <w:szCs w:val="24"/>
              </w:rPr>
              <w:t>报价</w:t>
            </w:r>
          </w:p>
          <w:p>
            <w:pPr>
              <w:spacing w:line="360" w:lineRule="auto"/>
              <w:jc w:val="center"/>
              <w:rPr>
                <w:rFonts w:ascii="仿宋" w:hAnsi="仿宋" w:eastAsia="仿宋"/>
                <w:bCs/>
                <w:sz w:val="24"/>
                <w:szCs w:val="24"/>
              </w:rPr>
            </w:pPr>
            <w:r>
              <w:rPr>
                <w:rFonts w:hint="eastAsia" w:ascii="仿宋" w:hAnsi="仿宋" w:eastAsia="仿宋"/>
                <w:bCs/>
                <w:sz w:val="24"/>
                <w:szCs w:val="24"/>
              </w:rPr>
              <w:t>10%</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bCs/>
                <w:sz w:val="24"/>
                <w:szCs w:val="24"/>
              </w:rPr>
            </w:pPr>
            <w:r>
              <w:rPr>
                <w:rFonts w:hint="eastAsia" w:ascii="仿宋" w:hAnsi="仿宋" w:eastAsia="仿宋"/>
                <w:bCs/>
                <w:sz w:val="24"/>
                <w:szCs w:val="24"/>
              </w:rPr>
              <w:t>10分</w:t>
            </w:r>
          </w:p>
        </w:tc>
        <w:tc>
          <w:tcPr>
            <w:tcW w:w="3118"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ascii="仿宋" w:hAnsi="仿宋" w:eastAsia="仿宋"/>
                <w:sz w:val="24"/>
                <w:szCs w:val="24"/>
              </w:rPr>
            </w:pPr>
            <w:r>
              <w:rPr>
                <w:rFonts w:hint="eastAsia" w:ascii="仿宋" w:hAnsi="仿宋" w:eastAsia="仿宋" w:cs="宋体"/>
                <w:color w:val="000000"/>
                <w:sz w:val="24"/>
                <w:szCs w:val="24"/>
              </w:rPr>
              <w:t>按原国家计委“计价格[2002]1980号”及“发改办价格[2003]857号”文件规定报价标准进行下浮报价（不得上浮，否则将被视为无效），每下浮1%得1分，本项最多1</w:t>
            </w:r>
            <w:r>
              <w:rPr>
                <w:rFonts w:ascii="仿宋" w:hAnsi="仿宋" w:eastAsia="仿宋" w:cs="宋体"/>
                <w:color w:val="000000"/>
                <w:sz w:val="24"/>
                <w:szCs w:val="24"/>
              </w:rPr>
              <w:t>0</w:t>
            </w:r>
            <w:r>
              <w:rPr>
                <w:rFonts w:hint="eastAsia" w:ascii="仿宋" w:hAnsi="仿宋" w:eastAsia="仿宋" w:cs="宋体"/>
                <w:color w:val="000000"/>
                <w:sz w:val="24"/>
                <w:szCs w:val="24"/>
              </w:rPr>
              <w:t>分。</w:t>
            </w:r>
          </w:p>
        </w:tc>
        <w:tc>
          <w:tcPr>
            <w:tcW w:w="44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bCs/>
                <w:sz w:val="24"/>
                <w:szCs w:val="24"/>
              </w:rPr>
              <w:t>2</w:t>
            </w:r>
          </w:p>
        </w:tc>
        <w:tc>
          <w:tcPr>
            <w:tcW w:w="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宋体"/>
                <w:sz w:val="24"/>
                <w:szCs w:val="24"/>
              </w:rPr>
            </w:pPr>
            <w:r>
              <w:rPr>
                <w:rFonts w:hint="eastAsia" w:ascii="仿宋" w:hAnsi="仿宋" w:eastAsia="仿宋" w:cs="宋体"/>
                <w:sz w:val="24"/>
                <w:szCs w:val="24"/>
              </w:rPr>
              <w:t>服务场所</w:t>
            </w:r>
          </w:p>
          <w:p>
            <w:pPr>
              <w:spacing w:line="360" w:lineRule="auto"/>
              <w:jc w:val="center"/>
              <w:rPr>
                <w:rFonts w:hint="eastAsia" w:ascii="仿宋" w:hAnsi="仿宋" w:eastAsia="仿宋"/>
                <w:bCs/>
                <w:sz w:val="24"/>
                <w:szCs w:val="24"/>
              </w:rPr>
            </w:pPr>
            <w:r>
              <w:rPr>
                <w:rFonts w:ascii="仿宋" w:hAnsi="仿宋" w:eastAsia="仿宋"/>
                <w:bCs/>
                <w:sz w:val="24"/>
                <w:szCs w:val="24"/>
              </w:rPr>
              <w:t>1</w:t>
            </w:r>
            <w:r>
              <w:rPr>
                <w:rFonts w:hint="eastAsia" w:ascii="仿宋" w:hAnsi="仿宋" w:eastAsia="仿宋"/>
                <w:bCs/>
                <w:sz w:val="24"/>
                <w:szCs w:val="24"/>
              </w:rPr>
              <w:t>0%</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宋体"/>
                <w:color w:val="000000"/>
                <w:sz w:val="24"/>
                <w:szCs w:val="24"/>
              </w:rPr>
            </w:pPr>
            <w:r>
              <w:rPr>
                <w:rFonts w:hint="eastAsia" w:ascii="仿宋" w:hAnsi="仿宋" w:eastAsia="仿宋"/>
                <w:bCs/>
                <w:sz w:val="24"/>
                <w:szCs w:val="24"/>
              </w:rPr>
              <w:t>1</w:t>
            </w:r>
            <w:r>
              <w:rPr>
                <w:rFonts w:ascii="仿宋" w:hAnsi="仿宋" w:eastAsia="仿宋"/>
                <w:bCs/>
                <w:sz w:val="24"/>
                <w:szCs w:val="24"/>
              </w:rPr>
              <w:t>0</w:t>
            </w:r>
            <w:r>
              <w:rPr>
                <w:rFonts w:hint="eastAsia" w:ascii="仿宋" w:hAnsi="仿宋" w:eastAsia="仿宋"/>
                <w:bCs/>
                <w:sz w:val="24"/>
                <w:szCs w:val="24"/>
              </w:rPr>
              <w:t>分</w:t>
            </w:r>
          </w:p>
        </w:tc>
        <w:tc>
          <w:tcPr>
            <w:tcW w:w="311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仿宋" w:hAnsi="仿宋" w:eastAsia="仿宋" w:cs="宋体"/>
                <w:color w:val="000000"/>
                <w:sz w:val="24"/>
                <w:szCs w:val="24"/>
              </w:rPr>
            </w:pPr>
            <w:r>
              <w:rPr>
                <w:rFonts w:hint="eastAsia" w:ascii="仿宋" w:hAnsi="仿宋" w:eastAsia="仿宋" w:cs="宋体"/>
                <w:color w:val="000000"/>
                <w:sz w:val="24"/>
                <w:szCs w:val="24"/>
              </w:rPr>
              <w:t>1、对比选申请人在成都市范围内的固定办公场所、开评标场地、档案管理场地、监控录音录像及门禁设施设备情况在规范性、完整性、保障性等方面进行综合评比：优</w:t>
            </w:r>
            <w:r>
              <w:rPr>
                <w:rFonts w:ascii="仿宋" w:hAnsi="仿宋" w:eastAsia="仿宋" w:cs="宋体"/>
                <w:color w:val="000000"/>
                <w:sz w:val="24"/>
                <w:szCs w:val="24"/>
              </w:rPr>
              <w:t>5</w:t>
            </w:r>
            <w:r>
              <w:rPr>
                <w:rFonts w:hint="eastAsia" w:ascii="仿宋" w:hAnsi="仿宋" w:eastAsia="仿宋" w:cs="宋体"/>
                <w:color w:val="000000"/>
                <w:sz w:val="24"/>
                <w:szCs w:val="24"/>
              </w:rPr>
              <w:t>-</w:t>
            </w:r>
            <w:r>
              <w:rPr>
                <w:rFonts w:ascii="仿宋" w:hAnsi="仿宋" w:eastAsia="仿宋" w:cs="宋体"/>
                <w:color w:val="000000"/>
                <w:sz w:val="24"/>
                <w:szCs w:val="24"/>
              </w:rPr>
              <w:t>6</w:t>
            </w:r>
            <w:r>
              <w:rPr>
                <w:rFonts w:hint="eastAsia" w:ascii="仿宋" w:hAnsi="仿宋" w:eastAsia="仿宋" w:cs="宋体"/>
                <w:color w:val="000000"/>
                <w:sz w:val="24"/>
                <w:szCs w:val="24"/>
              </w:rPr>
              <w:t>分，良好</w:t>
            </w:r>
            <w:r>
              <w:rPr>
                <w:rFonts w:ascii="仿宋" w:hAnsi="仿宋" w:eastAsia="仿宋" w:cs="宋体"/>
                <w:color w:val="000000"/>
                <w:sz w:val="24"/>
                <w:szCs w:val="24"/>
              </w:rPr>
              <w:t>3</w:t>
            </w:r>
            <w:r>
              <w:rPr>
                <w:rFonts w:hint="eastAsia" w:ascii="仿宋" w:hAnsi="仿宋" w:eastAsia="仿宋" w:cs="宋体"/>
                <w:color w:val="000000"/>
                <w:sz w:val="24"/>
                <w:szCs w:val="24"/>
              </w:rPr>
              <w:t>-4分，一般的得1-2分，在成都市范围内没有营业场所的不得分。</w:t>
            </w:r>
          </w:p>
          <w:p>
            <w:pPr>
              <w:spacing w:line="440" w:lineRule="exact"/>
              <w:jc w:val="left"/>
              <w:rPr>
                <w:rFonts w:hint="eastAsia" w:ascii="仿宋" w:hAnsi="仿宋" w:eastAsia="仿宋" w:cs="宋体"/>
                <w:color w:val="000000"/>
                <w:sz w:val="24"/>
                <w:szCs w:val="24"/>
              </w:rPr>
            </w:pPr>
            <w:r>
              <w:rPr>
                <w:rFonts w:ascii="仿宋" w:hAnsi="仿宋" w:eastAsia="仿宋" w:cs="宋体"/>
                <w:color w:val="000000"/>
                <w:sz w:val="24"/>
                <w:szCs w:val="24"/>
              </w:rPr>
              <w:t>2</w:t>
            </w:r>
            <w:r>
              <w:rPr>
                <w:rFonts w:hint="eastAsia" w:ascii="仿宋" w:hAnsi="仿宋" w:eastAsia="仿宋" w:cs="宋体"/>
                <w:color w:val="000000"/>
                <w:sz w:val="24"/>
                <w:szCs w:val="24"/>
              </w:rPr>
              <w:t>、具有200平米以上办公场地，得</w:t>
            </w:r>
            <w:r>
              <w:rPr>
                <w:rFonts w:ascii="仿宋" w:hAnsi="仿宋" w:eastAsia="仿宋" w:cs="宋体"/>
                <w:color w:val="000000"/>
                <w:sz w:val="24"/>
                <w:szCs w:val="24"/>
              </w:rPr>
              <w:t>1</w:t>
            </w:r>
            <w:r>
              <w:rPr>
                <w:rFonts w:hint="eastAsia" w:ascii="仿宋" w:hAnsi="仿宋" w:eastAsia="仿宋" w:cs="宋体"/>
                <w:color w:val="000000"/>
                <w:sz w:val="24"/>
                <w:szCs w:val="24"/>
              </w:rPr>
              <w:t>分；具有3个及以上开标室，得1分；具有2个及以上评标室，得1分；其中具有1个电子评标室，加1分；本项最多得</w:t>
            </w:r>
            <w:r>
              <w:rPr>
                <w:rFonts w:ascii="仿宋" w:hAnsi="仿宋" w:eastAsia="仿宋" w:cs="宋体"/>
                <w:color w:val="000000"/>
                <w:sz w:val="24"/>
                <w:szCs w:val="24"/>
              </w:rPr>
              <w:t>4</w:t>
            </w:r>
            <w:r>
              <w:rPr>
                <w:rFonts w:hint="eastAsia" w:ascii="仿宋" w:hAnsi="仿宋" w:eastAsia="仿宋" w:cs="宋体"/>
                <w:color w:val="000000"/>
                <w:sz w:val="24"/>
                <w:szCs w:val="24"/>
              </w:rPr>
              <w:t>分。</w:t>
            </w:r>
          </w:p>
          <w:p>
            <w:pPr>
              <w:spacing w:line="360" w:lineRule="auto"/>
              <w:jc w:val="left"/>
              <w:rPr>
                <w:rFonts w:ascii="仿宋" w:hAnsi="仿宋" w:eastAsia="仿宋" w:cs="宋体"/>
                <w:color w:val="000000"/>
                <w:sz w:val="24"/>
                <w:szCs w:val="24"/>
              </w:rPr>
            </w:pPr>
            <w:r>
              <w:rPr>
                <w:rFonts w:hint="eastAsia" w:ascii="仿宋" w:hAnsi="仿宋" w:eastAsia="仿宋" w:cs="宋体"/>
                <w:color w:val="000000"/>
                <w:sz w:val="24"/>
                <w:szCs w:val="24"/>
              </w:rPr>
              <w:t>注：应提供房产证（或租房合同，租房期限至少不低于三年且租赁场地，不能与其它招标代理机构共用场所）、实景图片等予以佐证（比选人可以进行实地考察，如实际情况与申请书描述不一致的，将取消中选资格）。</w:t>
            </w:r>
          </w:p>
        </w:tc>
        <w:tc>
          <w:tcPr>
            <w:tcW w:w="44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bCs/>
                <w:sz w:val="24"/>
                <w:szCs w:val="24"/>
              </w:rPr>
              <w:t>3</w:t>
            </w:r>
          </w:p>
        </w:tc>
        <w:tc>
          <w:tcPr>
            <w:tcW w:w="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bCs/>
                <w:sz w:val="24"/>
                <w:szCs w:val="24"/>
              </w:rPr>
            </w:pPr>
            <w:r>
              <w:rPr>
                <w:rFonts w:hint="eastAsia" w:ascii="仿宋" w:hAnsi="仿宋" w:eastAsia="仿宋" w:cs="宋体"/>
                <w:sz w:val="24"/>
                <w:szCs w:val="24"/>
              </w:rPr>
              <w:t>荣誉及认证10%</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cs="宋体"/>
                <w:sz w:val="24"/>
                <w:szCs w:val="24"/>
              </w:rPr>
              <w:t>10分</w:t>
            </w:r>
          </w:p>
        </w:tc>
        <w:tc>
          <w:tcPr>
            <w:tcW w:w="311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宋体"/>
                <w:color w:val="000000"/>
                <w:sz w:val="24"/>
                <w:szCs w:val="24"/>
              </w:rPr>
            </w:pPr>
            <w:r>
              <w:rPr>
                <w:rFonts w:hint="eastAsia" w:ascii="仿宋" w:hAnsi="仿宋" w:eastAsia="仿宋" w:cs="宋体"/>
                <w:color w:val="000000"/>
                <w:sz w:val="24"/>
                <w:szCs w:val="24"/>
              </w:rPr>
              <w:t>1、比选申请人近三年获得国家招标采购行业主管部门或其指定公告媒体颁发的荣誉证书的，得2</w:t>
            </w:r>
            <w:r>
              <w:rPr>
                <w:rFonts w:ascii="仿宋" w:hAnsi="仿宋" w:eastAsia="仿宋" w:cs="宋体"/>
                <w:color w:val="000000"/>
                <w:sz w:val="24"/>
                <w:szCs w:val="24"/>
              </w:rPr>
              <w:t>.5</w:t>
            </w:r>
            <w:r>
              <w:rPr>
                <w:rFonts w:hint="eastAsia" w:ascii="仿宋" w:hAnsi="仿宋" w:eastAsia="仿宋" w:cs="宋体"/>
                <w:color w:val="000000"/>
                <w:sz w:val="24"/>
                <w:szCs w:val="24"/>
              </w:rPr>
              <w:t>分；</w:t>
            </w:r>
          </w:p>
          <w:p>
            <w:pPr>
              <w:spacing w:line="360" w:lineRule="auto"/>
              <w:jc w:val="left"/>
              <w:rPr>
                <w:rFonts w:ascii="仿宋" w:hAnsi="仿宋" w:eastAsia="仿宋" w:cs="宋体"/>
                <w:color w:val="000000"/>
                <w:sz w:val="24"/>
                <w:szCs w:val="24"/>
              </w:rPr>
            </w:pPr>
            <w:r>
              <w:rPr>
                <w:rFonts w:hint="eastAsia" w:ascii="仿宋" w:hAnsi="仿宋" w:eastAsia="仿宋" w:cs="宋体"/>
                <w:color w:val="000000"/>
                <w:sz w:val="24"/>
                <w:szCs w:val="24"/>
              </w:rPr>
              <w:t>2、</w:t>
            </w:r>
            <w:r>
              <w:rPr>
                <w:rFonts w:ascii="仿宋" w:hAnsi="仿宋" w:eastAsia="仿宋" w:cs="宋体"/>
                <w:color w:val="000000"/>
                <w:sz w:val="24"/>
                <w:szCs w:val="24"/>
              </w:rPr>
              <w:t>具有有效的质量管理体系认证</w:t>
            </w:r>
            <w:r>
              <w:rPr>
                <w:rFonts w:hint="eastAsia" w:ascii="仿宋" w:hAnsi="仿宋" w:eastAsia="仿宋" w:cs="宋体"/>
                <w:color w:val="000000"/>
                <w:sz w:val="24"/>
                <w:szCs w:val="24"/>
              </w:rPr>
              <w:t>证书的，得2</w:t>
            </w:r>
            <w:r>
              <w:rPr>
                <w:rFonts w:ascii="仿宋" w:hAnsi="仿宋" w:eastAsia="仿宋" w:cs="宋体"/>
                <w:color w:val="000000"/>
                <w:sz w:val="24"/>
                <w:szCs w:val="24"/>
              </w:rPr>
              <w:t>.5</w:t>
            </w:r>
            <w:r>
              <w:rPr>
                <w:rFonts w:hint="eastAsia" w:ascii="仿宋" w:hAnsi="仿宋" w:eastAsia="仿宋" w:cs="宋体"/>
                <w:color w:val="000000"/>
                <w:sz w:val="24"/>
                <w:szCs w:val="24"/>
              </w:rPr>
              <w:t>分；</w:t>
            </w:r>
          </w:p>
          <w:p>
            <w:pPr>
              <w:spacing w:line="360" w:lineRule="auto"/>
              <w:jc w:val="left"/>
              <w:rPr>
                <w:rFonts w:hint="eastAsia" w:ascii="仿宋" w:hAnsi="仿宋" w:eastAsia="仿宋" w:cs="宋体"/>
                <w:color w:val="000000"/>
                <w:sz w:val="24"/>
                <w:szCs w:val="24"/>
              </w:rPr>
            </w:pPr>
            <w:r>
              <w:rPr>
                <w:rFonts w:hint="eastAsia" w:ascii="仿宋" w:hAnsi="仿宋" w:eastAsia="仿宋" w:cs="宋体"/>
                <w:color w:val="000000"/>
                <w:sz w:val="24"/>
                <w:szCs w:val="24"/>
              </w:rPr>
              <w:t>3、</w:t>
            </w:r>
            <w:r>
              <w:rPr>
                <w:rFonts w:ascii="仿宋" w:hAnsi="仿宋" w:eastAsia="仿宋" w:cs="宋体"/>
                <w:color w:val="000000"/>
                <w:sz w:val="24"/>
                <w:szCs w:val="24"/>
              </w:rPr>
              <w:t>具有有效</w:t>
            </w:r>
            <w:r>
              <w:rPr>
                <w:rFonts w:hint="eastAsia" w:ascii="仿宋" w:hAnsi="仿宋" w:eastAsia="仿宋" w:cs="宋体"/>
                <w:color w:val="000000"/>
                <w:sz w:val="24"/>
                <w:szCs w:val="24"/>
              </w:rPr>
              <w:t>的</w:t>
            </w:r>
            <w:r>
              <w:rPr>
                <w:rFonts w:ascii="仿宋" w:hAnsi="仿宋" w:eastAsia="仿宋" w:cs="宋体"/>
                <w:color w:val="000000"/>
                <w:sz w:val="24"/>
                <w:szCs w:val="24"/>
              </w:rPr>
              <w:t>职业健康安全管理体系认证</w:t>
            </w:r>
            <w:r>
              <w:rPr>
                <w:rFonts w:hint="eastAsia" w:ascii="仿宋" w:hAnsi="仿宋" w:eastAsia="仿宋" w:cs="宋体"/>
                <w:color w:val="000000"/>
                <w:sz w:val="24"/>
                <w:szCs w:val="24"/>
              </w:rPr>
              <w:t>证书的，得2</w:t>
            </w:r>
            <w:r>
              <w:rPr>
                <w:rFonts w:ascii="仿宋" w:hAnsi="仿宋" w:eastAsia="仿宋" w:cs="宋体"/>
                <w:color w:val="000000"/>
                <w:sz w:val="24"/>
                <w:szCs w:val="24"/>
              </w:rPr>
              <w:t>.5</w:t>
            </w:r>
            <w:r>
              <w:rPr>
                <w:rFonts w:hint="eastAsia" w:ascii="仿宋" w:hAnsi="仿宋" w:eastAsia="仿宋" w:cs="宋体"/>
                <w:color w:val="000000"/>
                <w:sz w:val="24"/>
                <w:szCs w:val="24"/>
              </w:rPr>
              <w:t>分；</w:t>
            </w:r>
          </w:p>
          <w:p>
            <w:pPr>
              <w:spacing w:line="360" w:lineRule="auto"/>
              <w:jc w:val="left"/>
              <w:rPr>
                <w:rFonts w:hint="eastAsia" w:ascii="仿宋" w:hAnsi="仿宋" w:eastAsia="仿宋" w:cs="宋体"/>
                <w:color w:val="000000"/>
                <w:sz w:val="24"/>
                <w:szCs w:val="24"/>
              </w:rPr>
            </w:pPr>
            <w:r>
              <w:rPr>
                <w:rFonts w:hint="eastAsia" w:ascii="仿宋" w:hAnsi="仿宋" w:eastAsia="仿宋" w:cs="宋体"/>
                <w:color w:val="000000"/>
                <w:sz w:val="24"/>
                <w:szCs w:val="24"/>
              </w:rPr>
              <w:t>4、具有有效的环境管理体系认证证书的，得2</w:t>
            </w:r>
            <w:r>
              <w:rPr>
                <w:rFonts w:ascii="仿宋" w:hAnsi="仿宋" w:eastAsia="仿宋" w:cs="宋体"/>
                <w:color w:val="000000"/>
                <w:sz w:val="24"/>
                <w:szCs w:val="24"/>
              </w:rPr>
              <w:t>.5</w:t>
            </w:r>
            <w:r>
              <w:rPr>
                <w:rFonts w:hint="eastAsia" w:ascii="仿宋" w:hAnsi="仿宋" w:eastAsia="仿宋" w:cs="宋体"/>
                <w:color w:val="000000"/>
                <w:sz w:val="24"/>
                <w:szCs w:val="24"/>
              </w:rPr>
              <w:t>分。</w:t>
            </w:r>
          </w:p>
          <w:p>
            <w:pPr>
              <w:spacing w:line="360" w:lineRule="auto"/>
              <w:jc w:val="left"/>
              <w:rPr>
                <w:rFonts w:ascii="仿宋" w:hAnsi="仿宋" w:eastAsia="仿宋"/>
                <w:sz w:val="24"/>
                <w:szCs w:val="24"/>
              </w:rPr>
            </w:pPr>
            <w:r>
              <w:rPr>
                <w:rFonts w:ascii="仿宋" w:hAnsi="仿宋" w:eastAsia="仿宋" w:cs="宋体"/>
                <w:color w:val="000000"/>
                <w:sz w:val="24"/>
                <w:szCs w:val="24"/>
              </w:rPr>
              <w:t>注</w:t>
            </w:r>
            <w:r>
              <w:rPr>
                <w:rFonts w:hint="eastAsia" w:ascii="仿宋" w:hAnsi="仿宋" w:eastAsia="仿宋" w:cs="宋体"/>
                <w:color w:val="000000"/>
                <w:sz w:val="24"/>
                <w:szCs w:val="24"/>
              </w:rPr>
              <w:t>：</w:t>
            </w:r>
            <w:r>
              <w:rPr>
                <w:rFonts w:ascii="仿宋" w:hAnsi="仿宋" w:eastAsia="仿宋" w:cs="宋体"/>
                <w:color w:val="000000"/>
                <w:sz w:val="24"/>
                <w:szCs w:val="24"/>
              </w:rPr>
              <w:t>需提供相关证书等证明材料复印件</w:t>
            </w:r>
            <w:r>
              <w:rPr>
                <w:rFonts w:hint="eastAsia" w:ascii="仿宋" w:hAnsi="仿宋" w:eastAsia="仿宋" w:cs="宋体"/>
                <w:color w:val="000000"/>
                <w:sz w:val="24"/>
                <w:szCs w:val="24"/>
              </w:rPr>
              <w:t>。</w:t>
            </w:r>
          </w:p>
        </w:tc>
        <w:tc>
          <w:tcPr>
            <w:tcW w:w="44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bCs/>
                <w:sz w:val="24"/>
                <w:szCs w:val="24"/>
              </w:rPr>
              <w:t>4</w:t>
            </w:r>
          </w:p>
        </w:tc>
        <w:tc>
          <w:tcPr>
            <w:tcW w:w="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bCs/>
                <w:sz w:val="24"/>
                <w:szCs w:val="24"/>
              </w:rPr>
            </w:pPr>
            <w:r>
              <w:rPr>
                <w:rFonts w:hint="eastAsia" w:ascii="仿宋" w:hAnsi="仿宋" w:eastAsia="仿宋" w:cs="宋体"/>
                <w:sz w:val="24"/>
                <w:szCs w:val="24"/>
              </w:rPr>
              <w:t>人员配置</w:t>
            </w:r>
            <w:r>
              <w:rPr>
                <w:rFonts w:ascii="仿宋" w:hAnsi="仿宋" w:eastAsia="仿宋" w:cs="宋体"/>
                <w:sz w:val="24"/>
              </w:rPr>
              <w:t>18</w:t>
            </w:r>
            <w:r>
              <w:rPr>
                <w:rFonts w:hint="eastAsia" w:ascii="仿宋" w:hAnsi="仿宋" w:eastAsia="仿宋" w:cs="宋体"/>
                <w:sz w:val="24"/>
                <w:szCs w:val="24"/>
              </w:rPr>
              <w:t>%</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cs="宋体"/>
                <w:sz w:val="24"/>
              </w:rPr>
              <w:t>1</w:t>
            </w:r>
            <w:r>
              <w:rPr>
                <w:rFonts w:ascii="仿宋" w:hAnsi="仿宋" w:eastAsia="仿宋" w:cs="宋体"/>
                <w:sz w:val="24"/>
              </w:rPr>
              <w:t>8</w:t>
            </w:r>
            <w:r>
              <w:rPr>
                <w:rFonts w:hint="eastAsia" w:ascii="仿宋" w:hAnsi="仿宋" w:eastAsia="仿宋" w:cs="宋体"/>
                <w:sz w:val="24"/>
                <w:szCs w:val="24"/>
              </w:rPr>
              <w:t>分</w:t>
            </w:r>
          </w:p>
        </w:tc>
        <w:tc>
          <w:tcPr>
            <w:tcW w:w="311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宋体"/>
                <w:color w:val="000000"/>
                <w:sz w:val="24"/>
              </w:rPr>
            </w:pPr>
            <w:r>
              <w:rPr>
                <w:rFonts w:hint="eastAsia" w:ascii="仿宋" w:hAnsi="仿宋" w:eastAsia="仿宋" w:cs="宋体"/>
                <w:color w:val="000000"/>
                <w:sz w:val="24"/>
              </w:rPr>
              <w:t>1、拟派项目负责人：具有四川省政府采购评审专家资格证书得</w:t>
            </w:r>
            <w:r>
              <w:rPr>
                <w:rFonts w:ascii="仿宋" w:hAnsi="仿宋" w:eastAsia="仿宋" w:cs="宋体"/>
                <w:color w:val="000000"/>
                <w:sz w:val="24"/>
              </w:rPr>
              <w:t>5</w:t>
            </w:r>
            <w:r>
              <w:rPr>
                <w:rFonts w:hint="eastAsia" w:ascii="仿宋" w:hAnsi="仿宋" w:eastAsia="仿宋" w:cs="宋体"/>
                <w:color w:val="000000"/>
                <w:sz w:val="24"/>
              </w:rPr>
              <w:t>分，同时具有高级及以上职称（提供职称证书、任职文件和评审表）加3分，本项满分8分；</w:t>
            </w:r>
          </w:p>
          <w:p>
            <w:pPr>
              <w:spacing w:line="360" w:lineRule="auto"/>
              <w:jc w:val="left"/>
              <w:rPr>
                <w:rFonts w:ascii="仿宋" w:hAnsi="仿宋" w:eastAsia="仿宋" w:cs="宋体"/>
                <w:color w:val="000000"/>
                <w:sz w:val="24"/>
              </w:rPr>
            </w:pPr>
            <w:r>
              <w:rPr>
                <w:rFonts w:hint="eastAsia" w:ascii="仿宋" w:hAnsi="仿宋" w:eastAsia="仿宋" w:cs="宋体"/>
                <w:color w:val="000000"/>
                <w:sz w:val="24"/>
              </w:rPr>
              <w:t>2、拟任专职技术人员具有四川省政府采购代理机构专职人员培训证明或政府采购从业人员培训班合格证，4人或以上得10分；在4人的基础上，每少一人扣2.5分（以培训证明为准），本项满分10分。</w:t>
            </w:r>
          </w:p>
          <w:p>
            <w:pPr>
              <w:spacing w:line="360" w:lineRule="auto"/>
              <w:jc w:val="left"/>
              <w:rPr>
                <w:rFonts w:ascii="仿宋" w:hAnsi="仿宋" w:eastAsia="仿宋"/>
                <w:color w:val="FF0000"/>
                <w:sz w:val="24"/>
                <w:szCs w:val="24"/>
              </w:rPr>
            </w:pPr>
            <w:r>
              <w:rPr>
                <w:rFonts w:ascii="仿宋" w:hAnsi="仿宋" w:eastAsia="仿宋" w:cs="宋体"/>
                <w:color w:val="000000"/>
                <w:sz w:val="24"/>
              </w:rPr>
              <w:t>注</w:t>
            </w:r>
            <w:r>
              <w:rPr>
                <w:rFonts w:hint="eastAsia" w:ascii="仿宋" w:hAnsi="仿宋" w:eastAsia="仿宋" w:cs="宋体"/>
                <w:color w:val="000000"/>
                <w:sz w:val="24"/>
              </w:rPr>
              <w:t>：以上人员均需提供工作证明和相关证书等客观证明材料复印件。</w:t>
            </w:r>
          </w:p>
        </w:tc>
        <w:tc>
          <w:tcPr>
            <w:tcW w:w="44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bCs/>
                <w:sz w:val="24"/>
                <w:szCs w:val="24"/>
              </w:rPr>
              <w:t>5</w:t>
            </w:r>
          </w:p>
        </w:tc>
        <w:tc>
          <w:tcPr>
            <w:tcW w:w="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bCs/>
                <w:sz w:val="24"/>
                <w:szCs w:val="24"/>
              </w:rPr>
            </w:pPr>
            <w:r>
              <w:rPr>
                <w:rFonts w:hint="eastAsia" w:ascii="仿宋" w:hAnsi="仿宋" w:eastAsia="仿宋" w:cs="宋体"/>
                <w:sz w:val="24"/>
                <w:szCs w:val="24"/>
              </w:rPr>
              <w:t>服务方案</w:t>
            </w:r>
            <w:r>
              <w:rPr>
                <w:rFonts w:hint="eastAsia" w:ascii="仿宋" w:hAnsi="仿宋" w:eastAsia="仿宋" w:cs="宋体"/>
                <w:sz w:val="24"/>
              </w:rPr>
              <w:t>40</w:t>
            </w:r>
            <w:r>
              <w:rPr>
                <w:rFonts w:hint="eastAsia" w:ascii="仿宋" w:hAnsi="仿宋" w:eastAsia="仿宋" w:cs="宋体"/>
                <w:sz w:val="24"/>
                <w:szCs w:val="24"/>
              </w:rPr>
              <w:t>%</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cs="宋体"/>
                <w:sz w:val="24"/>
              </w:rPr>
              <w:t>40</w:t>
            </w:r>
            <w:r>
              <w:rPr>
                <w:rFonts w:hint="eastAsia" w:ascii="仿宋" w:hAnsi="仿宋" w:eastAsia="仿宋" w:cs="宋体"/>
                <w:sz w:val="24"/>
                <w:szCs w:val="24"/>
              </w:rPr>
              <w:t>分</w:t>
            </w:r>
          </w:p>
        </w:tc>
        <w:tc>
          <w:tcPr>
            <w:tcW w:w="311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宋体"/>
                <w:color w:val="000000"/>
                <w:sz w:val="24"/>
              </w:rPr>
            </w:pPr>
            <w:r>
              <w:rPr>
                <w:rFonts w:hint="eastAsia" w:ascii="仿宋" w:hAnsi="仿宋" w:eastAsia="仿宋" w:cs="宋体"/>
                <w:color w:val="000000"/>
                <w:sz w:val="24"/>
              </w:rPr>
              <w:t>1</w:t>
            </w:r>
            <w:r>
              <w:rPr>
                <w:rFonts w:ascii="仿宋" w:hAnsi="仿宋" w:eastAsia="仿宋" w:cs="宋体"/>
                <w:color w:val="000000"/>
                <w:sz w:val="24"/>
              </w:rPr>
              <w:t>.</w:t>
            </w:r>
            <w:r>
              <w:rPr>
                <w:rFonts w:hint="eastAsia" w:ascii="仿宋" w:hAnsi="仿宋" w:eastAsia="仿宋" w:cs="宋体"/>
                <w:color w:val="000000"/>
                <w:sz w:val="24"/>
              </w:rPr>
              <w:t>对比选申请人针对本次比选所提供的代理服务方案在服务承诺的</w:t>
            </w:r>
            <w:r>
              <w:rPr>
                <w:rFonts w:hint="eastAsia" w:ascii="仿宋" w:hAnsi="仿宋" w:eastAsia="仿宋" w:cs="宋体"/>
                <w:b/>
                <w:bCs/>
                <w:color w:val="000000"/>
                <w:sz w:val="24"/>
              </w:rPr>
              <w:t>可行性</w:t>
            </w:r>
            <w:r>
              <w:rPr>
                <w:rFonts w:hint="eastAsia" w:ascii="仿宋" w:hAnsi="仿宋" w:eastAsia="仿宋" w:cs="宋体"/>
                <w:color w:val="000000"/>
                <w:sz w:val="24"/>
              </w:rPr>
              <w:t>和</w:t>
            </w:r>
            <w:r>
              <w:rPr>
                <w:rFonts w:hint="eastAsia" w:ascii="仿宋" w:hAnsi="仿宋" w:eastAsia="仿宋" w:cs="宋体"/>
                <w:b/>
                <w:bCs/>
                <w:color w:val="000000"/>
                <w:sz w:val="24"/>
              </w:rPr>
              <w:t>廉洁性</w:t>
            </w:r>
            <w:r>
              <w:rPr>
                <w:rFonts w:hint="eastAsia" w:ascii="仿宋" w:hAnsi="仿宋" w:eastAsia="仿宋" w:cs="宋体"/>
                <w:color w:val="000000"/>
                <w:sz w:val="24"/>
              </w:rPr>
              <w:t>、</w:t>
            </w:r>
            <w:r>
              <w:rPr>
                <w:rFonts w:hint="eastAsia" w:ascii="仿宋" w:hAnsi="仿宋" w:eastAsia="仿宋" w:cs="宋体"/>
                <w:b/>
                <w:bCs/>
                <w:color w:val="000000"/>
                <w:sz w:val="24"/>
              </w:rPr>
              <w:t>项目流程的全面性</w:t>
            </w:r>
            <w:r>
              <w:rPr>
                <w:rFonts w:hint="eastAsia" w:ascii="仿宋" w:hAnsi="仿宋" w:eastAsia="仿宋" w:cs="宋体"/>
                <w:color w:val="000000"/>
                <w:sz w:val="24"/>
              </w:rPr>
              <w:t>和</w:t>
            </w:r>
            <w:r>
              <w:rPr>
                <w:rFonts w:hint="eastAsia" w:ascii="仿宋" w:hAnsi="仿宋" w:eastAsia="仿宋" w:cs="宋体"/>
                <w:b/>
                <w:bCs/>
                <w:color w:val="000000"/>
                <w:sz w:val="24"/>
              </w:rPr>
              <w:t>规范性</w:t>
            </w:r>
            <w:r>
              <w:rPr>
                <w:rFonts w:hint="eastAsia" w:ascii="仿宋" w:hAnsi="仿宋" w:eastAsia="仿宋" w:cs="宋体"/>
                <w:color w:val="000000"/>
                <w:sz w:val="24"/>
              </w:rPr>
              <w:t>、</w:t>
            </w:r>
            <w:r>
              <w:rPr>
                <w:rFonts w:hint="eastAsia" w:ascii="仿宋" w:hAnsi="仿宋" w:eastAsia="仿宋" w:cs="宋体"/>
                <w:b/>
                <w:bCs/>
                <w:color w:val="000000"/>
                <w:sz w:val="24"/>
              </w:rPr>
              <w:t>项目结束后归档资料整理的完整性</w:t>
            </w:r>
            <w:r>
              <w:rPr>
                <w:rFonts w:hint="eastAsia" w:ascii="仿宋" w:hAnsi="仿宋" w:eastAsia="仿宋" w:cs="宋体"/>
                <w:color w:val="000000"/>
                <w:sz w:val="24"/>
              </w:rPr>
              <w:t>和</w:t>
            </w:r>
            <w:r>
              <w:rPr>
                <w:rFonts w:hint="eastAsia" w:ascii="仿宋" w:hAnsi="仿宋" w:eastAsia="仿宋" w:cs="宋体"/>
                <w:b/>
                <w:bCs/>
                <w:color w:val="000000"/>
                <w:sz w:val="24"/>
              </w:rPr>
              <w:t>及时性</w:t>
            </w:r>
            <w:r>
              <w:rPr>
                <w:rFonts w:hint="eastAsia" w:ascii="仿宋" w:hAnsi="仿宋" w:eastAsia="仿宋" w:cs="宋体"/>
                <w:color w:val="000000"/>
                <w:sz w:val="24"/>
              </w:rPr>
              <w:t>等方面进行综合评比：优得7</w:t>
            </w:r>
            <w:r>
              <w:rPr>
                <w:rFonts w:ascii="仿宋" w:hAnsi="仿宋" w:eastAsia="仿宋" w:cs="宋体"/>
                <w:color w:val="000000"/>
                <w:sz w:val="24"/>
              </w:rPr>
              <w:t>-</w:t>
            </w:r>
            <w:r>
              <w:rPr>
                <w:rFonts w:hint="eastAsia" w:ascii="仿宋" w:hAnsi="仿宋" w:eastAsia="仿宋" w:cs="宋体"/>
                <w:color w:val="000000"/>
                <w:sz w:val="24"/>
              </w:rPr>
              <w:t>8分，良5</w:t>
            </w:r>
            <w:r>
              <w:rPr>
                <w:rFonts w:ascii="仿宋" w:hAnsi="仿宋" w:eastAsia="仿宋" w:cs="宋体"/>
                <w:color w:val="000000"/>
                <w:sz w:val="24"/>
              </w:rPr>
              <w:t>-</w:t>
            </w:r>
            <w:r>
              <w:rPr>
                <w:rFonts w:hint="eastAsia" w:ascii="仿宋" w:hAnsi="仿宋" w:eastAsia="仿宋" w:cs="宋体"/>
                <w:color w:val="000000"/>
                <w:sz w:val="24"/>
              </w:rPr>
              <w:t>6分，一般</w:t>
            </w:r>
            <w:r>
              <w:rPr>
                <w:rFonts w:ascii="仿宋" w:hAnsi="仿宋" w:eastAsia="仿宋" w:cs="宋体"/>
                <w:color w:val="000000"/>
                <w:sz w:val="24"/>
              </w:rPr>
              <w:t>1-</w:t>
            </w:r>
            <w:r>
              <w:rPr>
                <w:rFonts w:hint="eastAsia" w:ascii="仿宋" w:hAnsi="仿宋" w:eastAsia="仿宋" w:cs="宋体"/>
                <w:color w:val="000000"/>
                <w:sz w:val="24"/>
              </w:rPr>
              <w:t>4分，较差的或没有方案的本项不得分。</w:t>
            </w:r>
          </w:p>
          <w:p>
            <w:pPr>
              <w:spacing w:line="360" w:lineRule="auto"/>
              <w:jc w:val="left"/>
              <w:rPr>
                <w:rFonts w:ascii="仿宋" w:hAnsi="仿宋" w:eastAsia="仿宋" w:cs="宋体"/>
                <w:color w:val="000000"/>
                <w:sz w:val="24"/>
              </w:rPr>
            </w:pPr>
            <w:r>
              <w:rPr>
                <w:rFonts w:hint="eastAsia" w:ascii="仿宋" w:hAnsi="仿宋" w:eastAsia="仿宋" w:cs="宋体"/>
                <w:color w:val="000000"/>
                <w:sz w:val="24"/>
              </w:rPr>
              <w:t>2</w:t>
            </w:r>
            <w:r>
              <w:rPr>
                <w:rFonts w:ascii="仿宋" w:hAnsi="仿宋" w:eastAsia="仿宋" w:cs="宋体"/>
                <w:color w:val="000000"/>
                <w:sz w:val="24"/>
              </w:rPr>
              <w:t>.</w:t>
            </w:r>
            <w:r>
              <w:rPr>
                <w:rFonts w:hint="eastAsia" w:ascii="仿宋" w:hAnsi="仿宋" w:eastAsia="仿宋" w:cs="宋体"/>
                <w:color w:val="000000"/>
                <w:sz w:val="24"/>
              </w:rPr>
              <w:t>对比选申请人所提供的政府采购内部监督管理制度在规范性、完整性和全面性等方面进行综合评比：优得7</w:t>
            </w:r>
            <w:r>
              <w:rPr>
                <w:rFonts w:ascii="仿宋" w:hAnsi="仿宋" w:eastAsia="仿宋" w:cs="宋体"/>
                <w:color w:val="000000"/>
                <w:sz w:val="24"/>
              </w:rPr>
              <w:t>-</w:t>
            </w:r>
            <w:r>
              <w:rPr>
                <w:rFonts w:hint="eastAsia" w:ascii="仿宋" w:hAnsi="仿宋" w:eastAsia="仿宋" w:cs="宋体"/>
                <w:color w:val="000000"/>
                <w:sz w:val="24"/>
              </w:rPr>
              <w:t>8分，良5</w:t>
            </w:r>
            <w:r>
              <w:rPr>
                <w:rFonts w:ascii="仿宋" w:hAnsi="仿宋" w:eastAsia="仿宋" w:cs="宋体"/>
                <w:color w:val="000000"/>
                <w:sz w:val="24"/>
              </w:rPr>
              <w:t>-</w:t>
            </w:r>
            <w:r>
              <w:rPr>
                <w:rFonts w:hint="eastAsia" w:ascii="仿宋" w:hAnsi="仿宋" w:eastAsia="仿宋" w:cs="宋体"/>
                <w:color w:val="000000"/>
                <w:sz w:val="24"/>
              </w:rPr>
              <w:t>6分，一般</w:t>
            </w:r>
            <w:r>
              <w:rPr>
                <w:rFonts w:ascii="仿宋" w:hAnsi="仿宋" w:eastAsia="仿宋" w:cs="宋体"/>
                <w:color w:val="000000"/>
                <w:sz w:val="24"/>
              </w:rPr>
              <w:t>1-</w:t>
            </w:r>
            <w:r>
              <w:rPr>
                <w:rFonts w:hint="eastAsia" w:ascii="仿宋" w:hAnsi="仿宋" w:eastAsia="仿宋" w:cs="宋体"/>
                <w:color w:val="000000"/>
                <w:sz w:val="24"/>
              </w:rPr>
              <w:t>4分，较差的或没有制度的本项不得分。</w:t>
            </w:r>
          </w:p>
          <w:p>
            <w:pPr>
              <w:spacing w:line="360" w:lineRule="auto"/>
              <w:jc w:val="left"/>
              <w:rPr>
                <w:rFonts w:hint="eastAsia" w:ascii="仿宋" w:hAnsi="仿宋" w:eastAsia="仿宋" w:cs="宋体"/>
                <w:sz w:val="24"/>
                <w:szCs w:val="24"/>
              </w:rPr>
            </w:pPr>
            <w:r>
              <w:rPr>
                <w:rFonts w:ascii="仿宋" w:hAnsi="仿宋" w:eastAsia="仿宋" w:cs="宋体"/>
                <w:color w:val="000000"/>
                <w:sz w:val="24"/>
              </w:rPr>
              <w:t>3</w:t>
            </w:r>
            <w:r>
              <w:rPr>
                <w:rFonts w:hint="eastAsia" w:ascii="仿宋" w:hAnsi="仿宋" w:eastAsia="仿宋" w:cs="宋体"/>
                <w:color w:val="000000"/>
                <w:sz w:val="24"/>
              </w:rPr>
              <w:t>、对比选申请人针对比选人所提供的综合服务方案在全面性、可行性等方面进行综合评比：优得17</w:t>
            </w:r>
            <w:r>
              <w:rPr>
                <w:rFonts w:ascii="仿宋" w:hAnsi="仿宋" w:eastAsia="仿宋" w:cs="宋体"/>
                <w:color w:val="000000"/>
                <w:sz w:val="24"/>
              </w:rPr>
              <w:t>-2</w:t>
            </w:r>
            <w:r>
              <w:rPr>
                <w:rFonts w:hint="eastAsia" w:ascii="仿宋" w:hAnsi="仿宋" w:eastAsia="仿宋" w:cs="宋体"/>
                <w:color w:val="000000"/>
                <w:sz w:val="24"/>
              </w:rPr>
              <w:t>4分，良9</w:t>
            </w:r>
            <w:r>
              <w:rPr>
                <w:rFonts w:ascii="仿宋" w:hAnsi="仿宋" w:eastAsia="仿宋" w:cs="宋体"/>
                <w:color w:val="000000"/>
                <w:sz w:val="24"/>
              </w:rPr>
              <w:t>-</w:t>
            </w:r>
            <w:r>
              <w:rPr>
                <w:rFonts w:hint="eastAsia" w:ascii="仿宋" w:hAnsi="仿宋" w:eastAsia="仿宋" w:cs="宋体"/>
                <w:color w:val="000000"/>
                <w:sz w:val="24"/>
              </w:rPr>
              <w:t>16分，一般</w:t>
            </w:r>
            <w:r>
              <w:rPr>
                <w:rFonts w:ascii="仿宋" w:hAnsi="仿宋" w:eastAsia="仿宋" w:cs="宋体"/>
                <w:color w:val="000000"/>
                <w:sz w:val="24"/>
              </w:rPr>
              <w:t>1-</w:t>
            </w:r>
            <w:r>
              <w:rPr>
                <w:rFonts w:hint="eastAsia" w:ascii="仿宋" w:hAnsi="仿宋" w:eastAsia="仿宋" w:cs="宋体"/>
                <w:color w:val="000000"/>
                <w:sz w:val="24"/>
              </w:rPr>
              <w:t>8分，较差的或没有方案的本项不得分。</w:t>
            </w:r>
          </w:p>
        </w:tc>
        <w:tc>
          <w:tcPr>
            <w:tcW w:w="44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bCs/>
                <w:sz w:val="24"/>
                <w:szCs w:val="24"/>
              </w:rPr>
            </w:pPr>
            <w:r>
              <w:rPr>
                <w:rFonts w:hint="eastAsia" w:ascii="仿宋" w:hAnsi="仿宋" w:eastAsia="仿宋"/>
                <w:bCs/>
                <w:sz w:val="24"/>
                <w:szCs w:val="24"/>
              </w:rPr>
              <w:t>6</w:t>
            </w:r>
          </w:p>
        </w:tc>
        <w:tc>
          <w:tcPr>
            <w:tcW w:w="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宋体"/>
                <w:sz w:val="24"/>
              </w:rPr>
            </w:pPr>
            <w:r>
              <w:rPr>
                <w:rFonts w:hint="eastAsia" w:ascii="仿宋" w:hAnsi="仿宋" w:eastAsia="仿宋" w:cs="宋体"/>
                <w:sz w:val="24"/>
              </w:rPr>
              <w:t>履约经验</w:t>
            </w:r>
          </w:p>
          <w:p>
            <w:pPr>
              <w:spacing w:line="360" w:lineRule="auto"/>
              <w:jc w:val="center"/>
              <w:rPr>
                <w:rFonts w:ascii="仿宋" w:hAnsi="仿宋" w:eastAsia="仿宋"/>
                <w:bCs/>
                <w:sz w:val="24"/>
                <w:szCs w:val="24"/>
              </w:rPr>
            </w:pPr>
            <w:r>
              <w:rPr>
                <w:rFonts w:hint="eastAsia" w:ascii="仿宋" w:hAnsi="仿宋" w:eastAsia="仿宋"/>
                <w:bCs/>
                <w:sz w:val="24"/>
                <w:szCs w:val="24"/>
              </w:rPr>
              <w:t>12%</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bCs/>
                <w:sz w:val="24"/>
                <w:szCs w:val="24"/>
              </w:rPr>
            </w:pPr>
            <w:r>
              <w:rPr>
                <w:rFonts w:hint="eastAsia" w:ascii="仿宋" w:hAnsi="仿宋" w:eastAsia="仿宋"/>
                <w:bCs/>
                <w:sz w:val="24"/>
              </w:rPr>
              <w:t>12</w:t>
            </w:r>
            <w:r>
              <w:rPr>
                <w:rFonts w:hint="eastAsia" w:ascii="仿宋" w:hAnsi="仿宋" w:eastAsia="仿宋"/>
                <w:bCs/>
                <w:sz w:val="24"/>
                <w:szCs w:val="24"/>
              </w:rPr>
              <w:t>分</w:t>
            </w:r>
          </w:p>
        </w:tc>
        <w:tc>
          <w:tcPr>
            <w:tcW w:w="311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宋体"/>
                <w:color w:val="000000"/>
                <w:sz w:val="24"/>
              </w:rPr>
            </w:pPr>
            <w:r>
              <w:rPr>
                <w:rFonts w:hint="eastAsia" w:ascii="仿宋" w:hAnsi="仿宋" w:eastAsia="仿宋" w:cs="宋体"/>
                <w:color w:val="000000"/>
                <w:sz w:val="24"/>
              </w:rPr>
              <w:t>1、比选申请人2019年以来已完成采购代理业绩50个（含）-100个，得</w:t>
            </w:r>
            <w:r>
              <w:rPr>
                <w:rFonts w:ascii="仿宋" w:hAnsi="仿宋" w:eastAsia="仿宋" w:cs="宋体"/>
                <w:color w:val="000000"/>
                <w:sz w:val="24"/>
              </w:rPr>
              <w:t>4</w:t>
            </w:r>
            <w:r>
              <w:rPr>
                <w:rFonts w:hint="eastAsia" w:ascii="仿宋" w:hAnsi="仿宋" w:eastAsia="仿宋" w:cs="宋体"/>
                <w:color w:val="000000"/>
                <w:sz w:val="24"/>
              </w:rPr>
              <w:t>分，100个以上，得8分，本项满分8分；</w:t>
            </w:r>
          </w:p>
          <w:p>
            <w:pPr>
              <w:spacing w:line="360" w:lineRule="auto"/>
              <w:jc w:val="left"/>
              <w:rPr>
                <w:rFonts w:hint="eastAsia" w:ascii="仿宋" w:hAnsi="仿宋" w:eastAsia="仿宋" w:cs="宋体"/>
                <w:color w:val="000000"/>
                <w:sz w:val="24"/>
              </w:rPr>
            </w:pPr>
            <w:r>
              <w:rPr>
                <w:rFonts w:hint="eastAsia" w:ascii="仿宋" w:hAnsi="仿宋" w:eastAsia="仿宋" w:cs="宋体"/>
                <w:color w:val="000000"/>
                <w:sz w:val="24"/>
              </w:rPr>
              <w:t>2、比选申请人2019年以来已完成四川医疗卫生行业相关的采购代理业绩10个（含）及以上加</w:t>
            </w:r>
            <w:r>
              <w:rPr>
                <w:rFonts w:ascii="仿宋" w:hAnsi="仿宋" w:eastAsia="仿宋" w:cs="宋体"/>
                <w:color w:val="000000"/>
                <w:sz w:val="24"/>
              </w:rPr>
              <w:t>4</w:t>
            </w:r>
            <w:r>
              <w:rPr>
                <w:rFonts w:hint="eastAsia" w:ascii="仿宋" w:hAnsi="仿宋" w:eastAsia="仿宋" w:cs="宋体"/>
                <w:color w:val="000000"/>
                <w:sz w:val="24"/>
              </w:rPr>
              <w:t xml:space="preserve">分； </w:t>
            </w:r>
          </w:p>
          <w:p>
            <w:pPr>
              <w:spacing w:line="360" w:lineRule="auto"/>
              <w:jc w:val="left"/>
              <w:rPr>
                <w:rFonts w:ascii="仿宋" w:hAnsi="仿宋" w:eastAsia="仿宋"/>
                <w:sz w:val="24"/>
                <w:szCs w:val="24"/>
              </w:rPr>
            </w:pPr>
            <w:r>
              <w:rPr>
                <w:rFonts w:hint="eastAsia" w:ascii="仿宋" w:hAnsi="仿宋" w:eastAsia="仿宋" w:cs="宋体"/>
                <w:color w:val="000000"/>
                <w:sz w:val="24"/>
              </w:rPr>
              <w:t>注：业绩以委托代理合同为准，申请人必须按照第三章业绩表格格式填写，否则不予给分。此外，比选人有权根据申请人提供的信息在相关网站上进行查询（公告上信息不全的，比选人在任何时候都有权要求申请人提供更多相关资料或招标采购单位联系方式进行进一步查询核实），一旦发现实质性虚假信息，将取消中选资格，并上报相关管理部门。</w:t>
            </w:r>
          </w:p>
        </w:tc>
        <w:tc>
          <w:tcPr>
            <w:tcW w:w="44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sz w:val="24"/>
                <w:szCs w:val="24"/>
              </w:rPr>
            </w:pPr>
          </w:p>
        </w:tc>
      </w:tr>
    </w:tbl>
    <w:p>
      <w:pPr>
        <w:pStyle w:val="2"/>
        <w:spacing w:line="360" w:lineRule="auto"/>
        <w:jc w:val="center"/>
        <w:rPr>
          <w:rFonts w:ascii="仿宋" w:hAnsi="仿宋" w:eastAsia="仿宋"/>
        </w:rPr>
      </w:pPr>
    </w:p>
    <w:p>
      <w:pPr>
        <w:pStyle w:val="2"/>
        <w:spacing w:line="360" w:lineRule="auto"/>
        <w:jc w:val="center"/>
        <w:rPr>
          <w:rFonts w:hint="eastAsia" w:ascii="仿宋" w:hAnsi="仿宋" w:eastAsia="仿宋"/>
        </w:rPr>
      </w:pPr>
      <w:r>
        <w:rPr>
          <w:rFonts w:ascii="仿宋" w:hAnsi="仿宋" w:eastAsia="仿宋"/>
        </w:rPr>
        <w:br w:type="page"/>
      </w:r>
      <w:r>
        <w:rPr>
          <w:rFonts w:hint="eastAsia" w:ascii="仿宋" w:hAnsi="仿宋" w:eastAsia="仿宋"/>
        </w:rPr>
        <w:t>第三章 比选申请书</w:t>
      </w:r>
      <w:bookmarkEnd w:id="11"/>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1、比选申请人在编制比选申请书时应使用本章所附格式；本章未规定格式的，由比选申请人根据实际情况自主编制。</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2、比选申请书应在比选申请书封面和《法定代表人授权书》中的“比选申请人”一栏填上比选申请人的全称并在名称上加盖比选申请人单位公章。</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3、比选申请书中的表格或空格如填写不下，可编辑扩充或另附页。本章所附格式，比选申请人为编制比选申请书可以复印或编辑。</w:t>
      </w:r>
    </w:p>
    <w:p>
      <w:pPr>
        <w:widowControl/>
        <w:adjustRightInd w:val="0"/>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4、比选申请人应按照比选申请书格式的要求编制比选申请书。比选申请书密封后按规定的时间和地点提交。</w:t>
      </w:r>
    </w:p>
    <w:p>
      <w:pPr>
        <w:widowControl/>
        <w:adjustRightInd w:val="0"/>
        <w:snapToGrid w:val="0"/>
        <w:spacing w:line="360" w:lineRule="auto"/>
        <w:ind w:firstLine="560" w:firstLineChars="200"/>
        <w:jc w:val="left"/>
        <w:rPr>
          <w:rFonts w:ascii="仿宋" w:hAnsi="仿宋" w:eastAsia="仿宋"/>
          <w:sz w:val="28"/>
          <w:szCs w:val="28"/>
        </w:rPr>
      </w:pPr>
    </w:p>
    <w:p>
      <w:pPr>
        <w:widowControl/>
        <w:adjustRightInd w:val="0"/>
        <w:snapToGrid w:val="0"/>
        <w:spacing w:line="360" w:lineRule="auto"/>
        <w:ind w:firstLine="560" w:firstLineChars="200"/>
        <w:jc w:val="left"/>
        <w:rPr>
          <w:rFonts w:ascii="仿宋" w:hAnsi="仿宋" w:eastAsia="仿宋"/>
          <w:sz w:val="28"/>
          <w:szCs w:val="28"/>
        </w:rPr>
      </w:pPr>
    </w:p>
    <w:p>
      <w:pPr>
        <w:widowControl/>
        <w:jc w:val="left"/>
        <w:rPr>
          <w:rFonts w:ascii="仿宋" w:hAnsi="仿宋" w:eastAsia="仿宋"/>
          <w:sz w:val="24"/>
          <w:u w:val="single"/>
        </w:rPr>
      </w:pPr>
      <w:r>
        <w:rPr>
          <w:rFonts w:ascii="仿宋" w:hAnsi="仿宋" w:eastAsia="仿宋"/>
          <w:sz w:val="28"/>
          <w:szCs w:val="28"/>
        </w:rPr>
        <w:br w:type="page"/>
      </w:r>
    </w:p>
    <w:p>
      <w:pPr>
        <w:jc w:val="center"/>
        <w:rPr>
          <w:rFonts w:ascii="仿宋" w:hAnsi="仿宋" w:eastAsia="仿宋"/>
          <w:b/>
          <w:sz w:val="48"/>
          <w:szCs w:val="48"/>
        </w:rPr>
      </w:pPr>
      <w:r>
        <w:rPr>
          <w:rFonts w:hint="eastAsia" w:ascii="仿宋" w:hAnsi="仿宋" w:eastAsia="仿宋"/>
          <w:b/>
          <w:sz w:val="48"/>
          <w:szCs w:val="48"/>
        </w:rPr>
        <w:t xml:space="preserve"> </w:t>
      </w:r>
      <w:r>
        <w:rPr>
          <w:rFonts w:hint="eastAsia" w:ascii="仿宋" w:hAnsi="仿宋" w:eastAsia="仿宋"/>
          <w:b/>
          <w:sz w:val="48"/>
          <w:szCs w:val="48"/>
          <w:u w:val="single"/>
        </w:rPr>
        <w:t xml:space="preserve">                     </w:t>
      </w:r>
      <w:r>
        <w:rPr>
          <w:rFonts w:hint="eastAsia" w:ascii="仿宋" w:hAnsi="仿宋" w:eastAsia="仿宋"/>
          <w:b/>
          <w:sz w:val="48"/>
          <w:szCs w:val="48"/>
        </w:rPr>
        <w:t>比选项目</w:t>
      </w:r>
    </w:p>
    <w:p>
      <w:pPr>
        <w:rPr>
          <w:rFonts w:hint="eastAsia" w:ascii="仿宋" w:hAnsi="仿宋" w:eastAsia="仿宋"/>
          <w:sz w:val="28"/>
          <w:szCs w:val="28"/>
        </w:rPr>
      </w:pPr>
    </w:p>
    <w:p>
      <w:pPr>
        <w:rPr>
          <w:rFonts w:hint="eastAsia" w:ascii="仿宋" w:hAnsi="仿宋" w:eastAsia="仿宋"/>
          <w:sz w:val="28"/>
          <w:szCs w:val="28"/>
        </w:rPr>
      </w:pPr>
    </w:p>
    <w:p>
      <w:pPr>
        <w:rPr>
          <w:rFonts w:ascii="仿宋" w:hAnsi="仿宋" w:eastAsia="仿宋"/>
          <w:sz w:val="28"/>
          <w:szCs w:val="28"/>
        </w:rPr>
      </w:pPr>
    </w:p>
    <w:p>
      <w:pPr>
        <w:jc w:val="center"/>
        <w:rPr>
          <w:rFonts w:ascii="仿宋" w:hAnsi="仿宋" w:eastAsia="仿宋"/>
          <w:b/>
          <w:sz w:val="48"/>
          <w:szCs w:val="48"/>
        </w:rPr>
      </w:pPr>
      <w:r>
        <w:rPr>
          <w:rFonts w:hint="eastAsia" w:ascii="仿宋" w:hAnsi="仿宋" w:eastAsia="仿宋"/>
          <w:b/>
          <w:sz w:val="48"/>
          <w:szCs w:val="48"/>
        </w:rPr>
        <w:t>比</w:t>
      </w:r>
    </w:p>
    <w:p>
      <w:pPr>
        <w:jc w:val="center"/>
        <w:rPr>
          <w:rFonts w:ascii="仿宋" w:hAnsi="仿宋" w:eastAsia="仿宋"/>
          <w:b/>
          <w:sz w:val="48"/>
          <w:szCs w:val="48"/>
        </w:rPr>
      </w:pPr>
      <w:r>
        <w:rPr>
          <w:rFonts w:hint="eastAsia" w:ascii="仿宋" w:hAnsi="仿宋" w:eastAsia="仿宋"/>
          <w:b/>
          <w:sz w:val="48"/>
          <w:szCs w:val="48"/>
        </w:rPr>
        <w:t>选</w:t>
      </w:r>
    </w:p>
    <w:p>
      <w:pPr>
        <w:jc w:val="center"/>
        <w:rPr>
          <w:rFonts w:ascii="仿宋" w:hAnsi="仿宋" w:eastAsia="仿宋"/>
          <w:b/>
          <w:sz w:val="48"/>
          <w:szCs w:val="48"/>
        </w:rPr>
      </w:pPr>
      <w:r>
        <w:rPr>
          <w:rFonts w:hint="eastAsia" w:ascii="仿宋" w:hAnsi="仿宋" w:eastAsia="仿宋"/>
          <w:b/>
          <w:sz w:val="48"/>
          <w:szCs w:val="48"/>
        </w:rPr>
        <w:t>申</w:t>
      </w:r>
    </w:p>
    <w:p>
      <w:pPr>
        <w:jc w:val="center"/>
        <w:rPr>
          <w:rFonts w:ascii="仿宋" w:hAnsi="仿宋" w:eastAsia="仿宋"/>
          <w:b/>
          <w:sz w:val="48"/>
          <w:szCs w:val="48"/>
        </w:rPr>
      </w:pPr>
      <w:r>
        <w:rPr>
          <w:rFonts w:hint="eastAsia" w:ascii="仿宋" w:hAnsi="仿宋" w:eastAsia="仿宋"/>
          <w:b/>
          <w:sz w:val="48"/>
          <w:szCs w:val="48"/>
        </w:rPr>
        <w:t>请</w:t>
      </w:r>
    </w:p>
    <w:p>
      <w:pPr>
        <w:jc w:val="center"/>
        <w:rPr>
          <w:rFonts w:ascii="仿宋" w:hAnsi="仿宋" w:eastAsia="仿宋"/>
          <w:b/>
          <w:sz w:val="48"/>
          <w:szCs w:val="48"/>
        </w:rPr>
      </w:pPr>
      <w:r>
        <w:rPr>
          <w:rFonts w:hint="eastAsia" w:ascii="仿宋" w:hAnsi="仿宋" w:eastAsia="仿宋"/>
          <w:b/>
          <w:sz w:val="48"/>
          <w:szCs w:val="48"/>
        </w:rPr>
        <w:t>书</w:t>
      </w:r>
    </w:p>
    <w:p>
      <w:pPr>
        <w:rPr>
          <w:rFonts w:ascii="仿宋" w:hAnsi="仿宋" w:eastAsia="仿宋"/>
          <w:sz w:val="28"/>
          <w:szCs w:val="28"/>
        </w:rPr>
      </w:pPr>
      <w:r>
        <w:rPr>
          <w:rFonts w:hint="eastAsia" w:ascii="仿宋" w:hAnsi="仿宋" w:eastAsia="仿宋"/>
          <w:sz w:val="28"/>
          <w:szCs w:val="28"/>
        </w:rPr>
        <w:t xml:space="preserve"> </w:t>
      </w:r>
    </w:p>
    <w:p>
      <w:pPr>
        <w:rPr>
          <w:rFonts w:ascii="仿宋" w:hAnsi="仿宋" w:eastAsia="仿宋"/>
          <w:sz w:val="28"/>
          <w:szCs w:val="28"/>
        </w:rPr>
      </w:pPr>
    </w:p>
    <w:p>
      <w:pPr>
        <w:rPr>
          <w:rFonts w:ascii="仿宋" w:hAnsi="仿宋" w:eastAsia="仿宋"/>
          <w:sz w:val="32"/>
          <w:szCs w:val="32"/>
        </w:rPr>
      </w:pPr>
      <w:r>
        <w:rPr>
          <w:rFonts w:hint="eastAsia" w:ascii="仿宋" w:hAnsi="仿宋" w:eastAsia="仿宋"/>
          <w:sz w:val="28"/>
          <w:szCs w:val="28"/>
        </w:rPr>
        <w:t>比选人：</w:t>
      </w:r>
      <w:r>
        <w:rPr>
          <w:rFonts w:hint="eastAsia" w:ascii="仿宋" w:hAnsi="仿宋" w:eastAsia="仿宋"/>
          <w:b/>
          <w:sz w:val="28"/>
          <w:szCs w:val="28"/>
          <w:u w:val="single"/>
        </w:rPr>
        <w:t xml:space="preserve">                 </w:t>
      </w:r>
      <w:r>
        <w:rPr>
          <w:rFonts w:hint="eastAsia" w:ascii="仿宋" w:hAnsi="仿宋" w:eastAsia="仿宋"/>
          <w:sz w:val="32"/>
          <w:szCs w:val="32"/>
        </w:rPr>
        <w:t>（全称并加盖单位公章）</w:t>
      </w:r>
    </w:p>
    <w:p>
      <w:pPr>
        <w:rPr>
          <w:rFonts w:ascii="仿宋" w:hAnsi="仿宋" w:eastAsia="仿宋"/>
          <w:sz w:val="28"/>
          <w:szCs w:val="28"/>
        </w:rPr>
      </w:pPr>
    </w:p>
    <w:p>
      <w:pPr>
        <w:rPr>
          <w:rFonts w:ascii="仿宋" w:hAnsi="仿宋" w:eastAsia="仿宋"/>
          <w:sz w:val="32"/>
          <w:szCs w:val="32"/>
        </w:rPr>
      </w:pPr>
      <w:r>
        <w:rPr>
          <w:rFonts w:hint="eastAsia" w:ascii="仿宋" w:hAnsi="仿宋" w:eastAsia="仿宋"/>
          <w:sz w:val="32"/>
          <w:szCs w:val="32"/>
        </w:rPr>
        <w:t>比选申请人：</w:t>
      </w:r>
      <w:r>
        <w:rPr>
          <w:rFonts w:hint="eastAsia" w:ascii="仿宋" w:hAnsi="仿宋" w:eastAsia="仿宋"/>
          <w:sz w:val="32"/>
          <w:szCs w:val="32"/>
          <w:u w:val="single"/>
        </w:rPr>
        <w:t xml:space="preserve">                       </w:t>
      </w:r>
      <w:r>
        <w:rPr>
          <w:rFonts w:hint="eastAsia" w:ascii="仿宋" w:hAnsi="仿宋" w:eastAsia="仿宋"/>
          <w:sz w:val="32"/>
          <w:szCs w:val="32"/>
        </w:rPr>
        <w:t>（全称并加盖单位公章）</w:t>
      </w:r>
    </w:p>
    <w:p>
      <w:pPr>
        <w:rPr>
          <w:rFonts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ascii="仿宋" w:hAnsi="仿宋" w:eastAsia="仿宋"/>
          <w:sz w:val="28"/>
          <w:szCs w:val="28"/>
        </w:rPr>
      </w:pPr>
    </w:p>
    <w:p>
      <w:pPr>
        <w:rPr>
          <w:rFonts w:ascii="仿宋" w:hAnsi="仿宋" w:eastAsia="仿宋"/>
          <w:sz w:val="28"/>
          <w:szCs w:val="28"/>
        </w:rPr>
      </w:pPr>
    </w:p>
    <w:p>
      <w:pPr>
        <w:jc w:val="center"/>
        <w:rPr>
          <w:rFonts w:ascii="仿宋" w:hAnsi="仿宋" w:eastAsia="仿宋"/>
          <w:sz w:val="32"/>
          <w:szCs w:val="32"/>
        </w:rPr>
      </w:pPr>
      <w:r>
        <w:rPr>
          <w:rFonts w:hint="eastAsia" w:ascii="仿宋" w:hAnsi="仿宋" w:eastAsia="仿宋"/>
          <w:sz w:val="32"/>
          <w:szCs w:val="32"/>
        </w:rPr>
        <w:t>年    月    日</w:t>
      </w:r>
    </w:p>
    <w:p>
      <w:pPr>
        <w:pStyle w:val="3"/>
        <w:adjustRightInd w:val="0"/>
        <w:snapToGrid w:val="0"/>
        <w:spacing w:line="415" w:lineRule="auto"/>
        <w:jc w:val="center"/>
        <w:rPr>
          <w:rFonts w:hint="eastAsia" w:ascii="仿宋" w:hAnsi="仿宋" w:eastAsia="仿宋" w:cs="宋体"/>
          <w:b w:val="0"/>
          <w:kern w:val="0"/>
          <w:sz w:val="24"/>
        </w:rPr>
      </w:pPr>
      <w:r>
        <w:rPr>
          <w:rFonts w:ascii="仿宋" w:hAnsi="仿宋" w:eastAsia="仿宋"/>
        </w:rPr>
        <w:br w:type="page"/>
      </w:r>
      <w:bookmarkStart w:id="14" w:name="_Toc467940134"/>
      <w:r>
        <w:rPr>
          <w:rFonts w:hint="eastAsia" w:ascii="仿宋" w:hAnsi="仿宋" w:eastAsia="仿宋"/>
          <w:b w:val="0"/>
          <w:kern w:val="0"/>
        </w:rPr>
        <w:t>1、法定代表人授权书</w:t>
      </w:r>
      <w:bookmarkEnd w:id="14"/>
    </w:p>
    <w:p>
      <w:pPr>
        <w:autoSpaceDE w:val="0"/>
        <w:autoSpaceDN w:val="0"/>
        <w:adjustRightInd w:val="0"/>
        <w:snapToGrid w:val="0"/>
        <w:spacing w:line="360" w:lineRule="auto"/>
        <w:ind w:firstLine="560" w:firstLineChars="200"/>
        <w:jc w:val="left"/>
        <w:rPr>
          <w:rFonts w:hint="eastAsia" w:ascii="仿宋" w:hAnsi="仿宋" w:eastAsia="仿宋" w:cs="仿宋_GB2312"/>
          <w:kern w:val="0"/>
          <w:sz w:val="28"/>
          <w:szCs w:val="28"/>
        </w:rPr>
      </w:pPr>
      <w:r>
        <w:rPr>
          <w:rFonts w:hint="eastAsia" w:ascii="仿宋" w:hAnsi="仿宋" w:eastAsia="仿宋" w:cs="仿宋_GB2312"/>
          <w:kern w:val="0"/>
          <w:sz w:val="28"/>
          <w:szCs w:val="28"/>
        </w:rPr>
        <w:t xml:space="preserve">本授权委托书声明：我 </w:t>
      </w:r>
      <w:r>
        <w:rPr>
          <w:rFonts w:hint="eastAsia" w:ascii="仿宋" w:hAnsi="仿宋" w:eastAsia="仿宋" w:cs="仿宋_GB2312"/>
          <w:kern w:val="0"/>
          <w:sz w:val="28"/>
          <w:szCs w:val="28"/>
          <w:u w:val="single"/>
        </w:rPr>
        <w:t xml:space="preserve">（姓名） </w:t>
      </w:r>
      <w:r>
        <w:rPr>
          <w:rFonts w:hint="eastAsia" w:ascii="仿宋" w:hAnsi="仿宋" w:eastAsia="仿宋" w:cs="仿宋_GB2312"/>
          <w:kern w:val="0"/>
          <w:sz w:val="28"/>
          <w:szCs w:val="28"/>
        </w:rPr>
        <w:t>系</w:t>
      </w:r>
      <w:r>
        <w:rPr>
          <w:rFonts w:hint="eastAsia" w:ascii="仿宋" w:hAnsi="仿宋" w:eastAsia="仿宋" w:cs="仿宋_GB2312"/>
          <w:kern w:val="0"/>
          <w:sz w:val="28"/>
          <w:szCs w:val="28"/>
          <w:u w:val="single"/>
        </w:rPr>
        <w:t xml:space="preserve"> （比选申请人名称） </w:t>
      </w:r>
      <w:r>
        <w:rPr>
          <w:rFonts w:hint="eastAsia" w:ascii="仿宋" w:hAnsi="仿宋" w:eastAsia="仿宋" w:cs="仿宋_GB2312"/>
          <w:kern w:val="0"/>
          <w:sz w:val="28"/>
          <w:szCs w:val="28"/>
        </w:rPr>
        <w:t>的法定代表人，现授权</w:t>
      </w:r>
      <w:r>
        <w:rPr>
          <w:rFonts w:hint="eastAsia" w:ascii="仿宋" w:hAnsi="仿宋" w:eastAsia="仿宋" w:cs="仿宋_GB2312"/>
          <w:kern w:val="0"/>
          <w:sz w:val="28"/>
          <w:szCs w:val="28"/>
          <w:u w:val="single"/>
        </w:rPr>
        <w:t xml:space="preserve"> （姓名） </w:t>
      </w:r>
      <w:r>
        <w:rPr>
          <w:rFonts w:hint="eastAsia" w:ascii="仿宋" w:hAnsi="仿宋" w:eastAsia="仿宋" w:cs="仿宋_GB2312"/>
          <w:kern w:val="0"/>
          <w:sz w:val="28"/>
          <w:szCs w:val="28"/>
        </w:rPr>
        <w:t>为我单位委托代理人，  以本单位的名义参加</w:t>
      </w:r>
      <w:r>
        <w:rPr>
          <w:rFonts w:hint="eastAsia" w:ascii="仿宋" w:hAnsi="仿宋" w:eastAsia="仿宋" w:cs="仿宋_GB2312"/>
          <w:kern w:val="0"/>
          <w:sz w:val="28"/>
          <w:szCs w:val="28"/>
          <w:u w:val="single"/>
        </w:rPr>
        <w:t xml:space="preserve">                               项目</w:t>
      </w:r>
      <w:r>
        <w:rPr>
          <w:rFonts w:hint="eastAsia" w:ascii="仿宋" w:hAnsi="仿宋" w:eastAsia="仿宋" w:cs="仿宋_GB2312"/>
          <w:kern w:val="0"/>
          <w:sz w:val="28"/>
          <w:szCs w:val="28"/>
        </w:rPr>
        <w:t>的比选活动。委托代理人在比选活动和评比、谈判以及合同签订过程中所签署的一切文件和处理与之有关的一切事务，我及我单位均予以承认，并全部承担其产生的所有权利和义务。</w:t>
      </w:r>
    </w:p>
    <w:p>
      <w:pPr>
        <w:autoSpaceDE w:val="0"/>
        <w:autoSpaceDN w:val="0"/>
        <w:adjustRightInd w:val="0"/>
        <w:snapToGrid w:val="0"/>
        <w:spacing w:line="360" w:lineRule="auto"/>
        <w:ind w:firstLine="560" w:firstLineChars="200"/>
        <w:jc w:val="left"/>
        <w:rPr>
          <w:rFonts w:hint="eastAsia" w:ascii="仿宋" w:hAnsi="仿宋" w:eastAsia="仿宋" w:cs="仿宋_GB2312"/>
          <w:kern w:val="0"/>
          <w:sz w:val="28"/>
          <w:szCs w:val="28"/>
        </w:rPr>
      </w:pPr>
      <w:r>
        <w:rPr>
          <w:rFonts w:hint="eastAsia" w:ascii="仿宋" w:hAnsi="仿宋" w:eastAsia="仿宋" w:cs="仿宋_GB2312"/>
          <w:kern w:val="0"/>
          <w:sz w:val="28"/>
          <w:szCs w:val="28"/>
        </w:rPr>
        <w:t>委托代理人无转委托权。特此委托。</w:t>
      </w:r>
    </w:p>
    <w:p>
      <w:pPr>
        <w:autoSpaceDE w:val="0"/>
        <w:autoSpaceDN w:val="0"/>
        <w:adjustRightInd w:val="0"/>
        <w:snapToGrid w:val="0"/>
        <w:spacing w:line="360" w:lineRule="auto"/>
        <w:ind w:firstLine="560" w:firstLineChars="200"/>
        <w:jc w:val="left"/>
        <w:rPr>
          <w:rFonts w:hint="eastAsia" w:ascii="仿宋" w:hAnsi="仿宋" w:eastAsia="仿宋" w:cs="仿宋_GB2312"/>
          <w:kern w:val="0"/>
          <w:sz w:val="28"/>
          <w:szCs w:val="28"/>
        </w:rPr>
      </w:pPr>
    </w:p>
    <w:p>
      <w:pPr>
        <w:autoSpaceDE w:val="0"/>
        <w:autoSpaceDN w:val="0"/>
        <w:adjustRightInd w:val="0"/>
        <w:snapToGrid w:val="0"/>
        <w:spacing w:line="360" w:lineRule="auto"/>
        <w:ind w:firstLine="560" w:firstLineChars="200"/>
        <w:jc w:val="left"/>
        <w:rPr>
          <w:rFonts w:hint="eastAsia" w:ascii="仿宋" w:hAnsi="仿宋" w:eastAsia="仿宋" w:cs="仿宋_GB2312"/>
          <w:kern w:val="0"/>
          <w:sz w:val="28"/>
          <w:szCs w:val="28"/>
        </w:rPr>
      </w:pPr>
    </w:p>
    <w:p>
      <w:pPr>
        <w:autoSpaceDE w:val="0"/>
        <w:autoSpaceDN w:val="0"/>
        <w:adjustRightInd w:val="0"/>
        <w:snapToGrid w:val="0"/>
        <w:spacing w:line="360" w:lineRule="auto"/>
        <w:jc w:val="left"/>
        <w:rPr>
          <w:rFonts w:hint="eastAsia" w:ascii="仿宋" w:hAnsi="仿宋" w:eastAsia="仿宋" w:cs="仿宋_GB2312"/>
          <w:kern w:val="0"/>
          <w:sz w:val="28"/>
          <w:szCs w:val="28"/>
        </w:rPr>
      </w:pPr>
      <w:r>
        <w:rPr>
          <w:rFonts w:hint="eastAsia" w:ascii="仿宋" w:hAnsi="仿宋" w:eastAsia="仿宋" w:cs="仿宋_GB2312"/>
          <w:kern w:val="0"/>
          <w:sz w:val="28"/>
          <w:szCs w:val="28"/>
        </w:rPr>
        <w:t>授权人(法定代表人):</w:t>
      </w:r>
      <w:r>
        <w:rPr>
          <w:rFonts w:hint="eastAsia" w:ascii="仿宋" w:hAnsi="仿宋" w:eastAsia="仿宋" w:cs="仿宋_GB2312"/>
          <w:kern w:val="0"/>
          <w:sz w:val="28"/>
          <w:szCs w:val="28"/>
          <w:u w:val="single"/>
        </w:rPr>
        <w:t xml:space="preserve">    （签字） </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 xml:space="preserve">   </w:t>
      </w:r>
    </w:p>
    <w:p>
      <w:pPr>
        <w:autoSpaceDE w:val="0"/>
        <w:autoSpaceDN w:val="0"/>
        <w:adjustRightInd w:val="0"/>
        <w:snapToGrid w:val="0"/>
        <w:spacing w:line="360" w:lineRule="auto"/>
        <w:jc w:val="left"/>
        <w:rPr>
          <w:rFonts w:ascii="仿宋" w:hAnsi="仿宋" w:eastAsia="仿宋" w:cs="仿宋_GB2312"/>
          <w:kern w:val="0"/>
          <w:sz w:val="28"/>
          <w:szCs w:val="28"/>
        </w:rPr>
      </w:pPr>
      <w:r>
        <w:rPr>
          <w:rFonts w:hint="eastAsia" w:ascii="仿宋" w:hAnsi="仿宋" w:eastAsia="仿宋" w:cs="仿宋_GB2312"/>
          <w:kern w:val="0"/>
          <w:sz w:val="28"/>
          <w:szCs w:val="28"/>
        </w:rPr>
        <w:t>委托代理人：</w:t>
      </w:r>
      <w:r>
        <w:rPr>
          <w:rFonts w:hint="eastAsia" w:ascii="仿宋" w:hAnsi="仿宋" w:eastAsia="仿宋" w:cs="仿宋_GB2312"/>
          <w:kern w:val="0"/>
          <w:sz w:val="28"/>
          <w:szCs w:val="28"/>
          <w:u w:val="single"/>
        </w:rPr>
        <w:t xml:space="preserve"> （签字）          </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 xml:space="preserve">    </w:t>
      </w:r>
    </w:p>
    <w:p>
      <w:pPr>
        <w:autoSpaceDE w:val="0"/>
        <w:autoSpaceDN w:val="0"/>
        <w:adjustRightInd w:val="0"/>
        <w:snapToGrid w:val="0"/>
        <w:spacing w:line="360" w:lineRule="auto"/>
        <w:jc w:val="left"/>
        <w:rPr>
          <w:rFonts w:hint="eastAsia" w:ascii="仿宋" w:hAnsi="仿宋" w:eastAsia="仿宋" w:cs="仿宋_GB2312"/>
          <w:kern w:val="0"/>
          <w:sz w:val="28"/>
          <w:szCs w:val="28"/>
        </w:rPr>
      </w:pPr>
    </w:p>
    <w:p>
      <w:pPr>
        <w:autoSpaceDE w:val="0"/>
        <w:autoSpaceDN w:val="0"/>
        <w:adjustRightInd w:val="0"/>
        <w:snapToGrid w:val="0"/>
        <w:spacing w:line="360" w:lineRule="auto"/>
        <w:jc w:val="left"/>
        <w:rPr>
          <w:rFonts w:hint="eastAsia" w:ascii="仿宋" w:hAnsi="仿宋" w:eastAsia="仿宋" w:cs="仿宋_GB2312"/>
          <w:kern w:val="0"/>
          <w:sz w:val="28"/>
          <w:szCs w:val="28"/>
          <w:u w:val="single"/>
        </w:rPr>
      </w:pPr>
      <w:r>
        <w:rPr>
          <w:rFonts w:hint="eastAsia" w:ascii="仿宋" w:hAnsi="仿宋" w:eastAsia="仿宋" w:cs="仿宋_GB2312"/>
          <w:kern w:val="0"/>
          <w:sz w:val="28"/>
          <w:szCs w:val="28"/>
        </w:rPr>
        <w:t>比选申请人：</w:t>
      </w:r>
      <w:r>
        <w:rPr>
          <w:rFonts w:hint="eastAsia" w:ascii="仿宋" w:hAnsi="仿宋" w:eastAsia="仿宋" w:cs="仿宋_GB2312"/>
          <w:kern w:val="0"/>
          <w:sz w:val="28"/>
          <w:szCs w:val="28"/>
          <w:u w:val="single"/>
        </w:rPr>
        <w:t xml:space="preserve">（全称并加盖企业法人公章）                        </w:t>
      </w:r>
    </w:p>
    <w:p>
      <w:pPr>
        <w:autoSpaceDE w:val="0"/>
        <w:autoSpaceDN w:val="0"/>
        <w:adjustRightInd w:val="0"/>
        <w:snapToGrid w:val="0"/>
        <w:spacing w:line="360" w:lineRule="auto"/>
        <w:jc w:val="left"/>
        <w:rPr>
          <w:rFonts w:hint="eastAsia" w:ascii="仿宋" w:hAnsi="仿宋" w:eastAsia="仿宋" w:cs="仿宋_GB2312"/>
          <w:kern w:val="0"/>
          <w:sz w:val="28"/>
          <w:szCs w:val="28"/>
        </w:rPr>
      </w:pPr>
      <w:r>
        <w:rPr>
          <w:rFonts w:hint="eastAsia" w:ascii="仿宋" w:hAnsi="仿宋" w:eastAsia="仿宋" w:cs="仿宋_GB2312"/>
          <w:kern w:val="0"/>
          <w:sz w:val="28"/>
          <w:szCs w:val="28"/>
        </w:rPr>
        <w:t>日期：</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年</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月</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日</w:t>
      </w:r>
    </w:p>
    <w:p>
      <w:pPr>
        <w:autoSpaceDE w:val="0"/>
        <w:autoSpaceDN w:val="0"/>
        <w:adjustRightInd w:val="0"/>
        <w:snapToGrid w:val="0"/>
        <w:spacing w:line="360" w:lineRule="auto"/>
        <w:jc w:val="left"/>
        <w:rPr>
          <w:rFonts w:hint="eastAsia" w:ascii="仿宋" w:hAnsi="仿宋" w:eastAsia="仿宋" w:cs="仿宋_GB2312"/>
          <w:kern w:val="0"/>
          <w:sz w:val="28"/>
          <w:szCs w:val="28"/>
        </w:rPr>
      </w:pPr>
    </w:p>
    <w:p>
      <w:pPr>
        <w:adjustRightInd w:val="0"/>
        <w:snapToGrid w:val="0"/>
        <w:spacing w:line="360" w:lineRule="auto"/>
        <w:rPr>
          <w:rFonts w:hint="eastAsia" w:ascii="仿宋" w:hAnsi="仿宋" w:eastAsia="仿宋" w:cs="仿宋_GB2312"/>
          <w:kern w:val="0"/>
          <w:sz w:val="28"/>
          <w:szCs w:val="28"/>
        </w:rPr>
      </w:pPr>
      <w:r>
        <w:rPr>
          <w:rFonts w:hint="eastAsia" w:ascii="仿宋" w:hAnsi="仿宋" w:eastAsia="仿宋" w:cs="仿宋_GB2312"/>
          <w:kern w:val="0"/>
          <w:sz w:val="28"/>
          <w:szCs w:val="28"/>
        </w:rPr>
        <w:t>注：须附法定代表人和授权代表身份证复印件</w:t>
      </w:r>
    </w:p>
    <w:p>
      <w:pPr>
        <w:pStyle w:val="3"/>
        <w:adjustRightInd w:val="0"/>
        <w:snapToGrid w:val="0"/>
        <w:spacing w:line="415" w:lineRule="auto"/>
        <w:jc w:val="center"/>
        <w:rPr>
          <w:rFonts w:hint="eastAsia" w:ascii="仿宋" w:hAnsi="仿宋" w:eastAsia="仿宋"/>
          <w:b w:val="0"/>
        </w:rPr>
      </w:pPr>
      <w:r>
        <w:rPr>
          <w:rFonts w:ascii="仿宋" w:hAnsi="仿宋" w:eastAsia="仿宋"/>
        </w:rPr>
        <w:br w:type="page"/>
      </w:r>
      <w:bookmarkStart w:id="15" w:name="_Toc467940135"/>
      <w:r>
        <w:rPr>
          <w:rFonts w:hint="eastAsia" w:ascii="仿宋" w:hAnsi="仿宋" w:eastAsia="仿宋"/>
          <w:b w:val="0"/>
        </w:rPr>
        <w:t>2、报价单格式</w:t>
      </w:r>
      <w:bookmarkEnd w:id="15"/>
    </w:p>
    <w:p>
      <w:pPr>
        <w:widowControl/>
        <w:adjustRightInd w:val="0"/>
        <w:snapToGrid w:val="0"/>
        <w:spacing w:line="360" w:lineRule="auto"/>
        <w:jc w:val="left"/>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b/>
          <w:sz w:val="28"/>
          <w:szCs w:val="28"/>
          <w:u w:val="single"/>
        </w:rPr>
        <w:t>成都市龙泉驿区中医医院</w:t>
      </w:r>
    </w:p>
    <w:p>
      <w:pPr>
        <w:widowControl/>
        <w:adjustRightInd w:val="0"/>
        <w:snapToGrid w:val="0"/>
        <w:spacing w:line="360" w:lineRule="auto"/>
        <w:jc w:val="left"/>
        <w:rPr>
          <w:rFonts w:hint="eastAsia" w:ascii="仿宋" w:hAnsi="仿宋" w:eastAsia="仿宋"/>
          <w:sz w:val="28"/>
          <w:szCs w:val="28"/>
        </w:rPr>
      </w:pPr>
      <w:r>
        <w:rPr>
          <w:rFonts w:hint="eastAsia" w:ascii="仿宋" w:hAnsi="仿宋" w:eastAsia="仿宋"/>
          <w:sz w:val="28"/>
          <w:szCs w:val="28"/>
        </w:rPr>
        <w:t xml:space="preserve">    我公司仔细研究了比选文件的基本情况，根据本公司的实际情况，本公司的报价为：按原国家计委计价格[2002]1980号及发改办价格[2003]857号文规定的收费标准收取。</w:t>
      </w: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hint="eastAsia" w:ascii="仿宋" w:hAnsi="仿宋" w:eastAsia="仿宋"/>
          <w:sz w:val="28"/>
          <w:szCs w:val="28"/>
        </w:rPr>
      </w:pPr>
      <w:r>
        <w:rPr>
          <w:rFonts w:hint="eastAsia" w:ascii="仿宋" w:hAnsi="仿宋" w:eastAsia="仿宋"/>
          <w:sz w:val="28"/>
          <w:szCs w:val="28"/>
        </w:rPr>
        <w:t>采购代理机构：</w:t>
      </w: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hint="eastAsia" w:ascii="仿宋" w:hAnsi="仿宋" w:eastAsia="仿宋"/>
          <w:sz w:val="28"/>
          <w:szCs w:val="28"/>
        </w:rPr>
      </w:pPr>
      <w:r>
        <w:rPr>
          <w:rFonts w:hint="eastAsia" w:ascii="仿宋" w:hAnsi="仿宋" w:eastAsia="仿宋"/>
          <w:sz w:val="28"/>
          <w:szCs w:val="28"/>
        </w:rPr>
        <w:t>采购代理机构法定代表人或授权代表签字：</w:t>
      </w: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hint="eastAsia" w:ascii="仿宋" w:hAnsi="仿宋" w:eastAsia="仿宋"/>
          <w:sz w:val="28"/>
          <w:szCs w:val="28"/>
        </w:rPr>
      </w:pPr>
    </w:p>
    <w:p>
      <w:pPr>
        <w:widowControl/>
        <w:adjustRightInd w:val="0"/>
        <w:snapToGrid w:val="0"/>
        <w:spacing w:line="360" w:lineRule="auto"/>
        <w:jc w:val="left"/>
        <w:rPr>
          <w:rFonts w:ascii="仿宋" w:hAnsi="仿宋" w:eastAsia="仿宋"/>
          <w:sz w:val="28"/>
          <w:szCs w:val="28"/>
        </w:rPr>
      </w:pPr>
      <w:r>
        <w:rPr>
          <w:rFonts w:hint="eastAsia" w:ascii="仿宋" w:hAnsi="仿宋" w:eastAsia="仿宋"/>
          <w:sz w:val="28"/>
          <w:szCs w:val="28"/>
        </w:rPr>
        <w:t xml:space="preserve">                                         年     月     日</w:t>
      </w:r>
    </w:p>
    <w:p>
      <w:pPr>
        <w:widowControl/>
        <w:adjustRightInd w:val="0"/>
        <w:snapToGrid w:val="0"/>
        <w:spacing w:line="360" w:lineRule="auto"/>
        <w:jc w:val="left"/>
        <w:rPr>
          <w:rFonts w:ascii="仿宋" w:hAnsi="仿宋" w:eastAsia="仿宋"/>
          <w:sz w:val="28"/>
          <w:szCs w:val="28"/>
        </w:rPr>
      </w:pPr>
    </w:p>
    <w:p>
      <w:pPr>
        <w:pStyle w:val="3"/>
        <w:adjustRightInd w:val="0"/>
        <w:snapToGrid w:val="0"/>
        <w:spacing w:line="415" w:lineRule="auto"/>
        <w:jc w:val="center"/>
        <w:rPr>
          <w:rFonts w:hint="eastAsia" w:ascii="仿宋" w:hAnsi="仿宋" w:eastAsia="仿宋"/>
          <w:b w:val="0"/>
        </w:rPr>
      </w:pPr>
      <w:bookmarkStart w:id="16" w:name="_Toc467940136"/>
      <w:r>
        <w:rPr>
          <w:rFonts w:ascii="仿宋" w:hAnsi="仿宋" w:eastAsia="仿宋"/>
          <w:b w:val="0"/>
        </w:rPr>
        <w:br w:type="page"/>
      </w:r>
      <w:r>
        <w:rPr>
          <w:rFonts w:hint="eastAsia" w:ascii="仿宋" w:hAnsi="仿宋" w:eastAsia="仿宋"/>
          <w:b w:val="0"/>
        </w:rPr>
        <w:t>3、比选申请人组织结构及资格信息</w:t>
      </w:r>
      <w:bookmarkEnd w:id="16"/>
    </w:p>
    <w:p>
      <w:pPr>
        <w:jc w:val="center"/>
        <w:rPr>
          <w:rFonts w:hint="eastAsia" w:ascii="仿宋" w:hAnsi="仿宋" w:eastAsia="仿宋"/>
          <w:bCs/>
          <w:sz w:val="32"/>
          <w:szCs w:val="32"/>
        </w:rPr>
      </w:pPr>
      <w:r>
        <w:rPr>
          <w:rFonts w:hint="eastAsia" w:ascii="仿宋" w:hAnsi="仿宋" w:eastAsia="仿宋"/>
          <w:bCs/>
          <w:sz w:val="32"/>
          <w:szCs w:val="32"/>
        </w:rPr>
        <w:t>基本情况表</w:t>
      </w:r>
    </w:p>
    <w:p>
      <w:pPr>
        <w:rPr>
          <w:rFonts w:hint="eastAsia" w:ascii="仿宋" w:hAnsi="仿宋" w:eastAsia="仿宋"/>
          <w:b/>
        </w:rPr>
      </w:pPr>
    </w:p>
    <w:tbl>
      <w:tblPr>
        <w:tblStyle w:val="17"/>
        <w:tblW w:w="0" w:type="auto"/>
        <w:tblInd w:w="-318" w:type="dxa"/>
        <w:tblLayout w:type="fixed"/>
        <w:tblCellMar>
          <w:top w:w="0" w:type="dxa"/>
          <w:left w:w="108" w:type="dxa"/>
          <w:bottom w:w="0" w:type="dxa"/>
          <w:right w:w="108" w:type="dxa"/>
        </w:tblCellMar>
      </w:tblPr>
      <w:tblGrid>
        <w:gridCol w:w="2036"/>
        <w:gridCol w:w="966"/>
        <w:gridCol w:w="664"/>
        <w:gridCol w:w="1440"/>
        <w:gridCol w:w="1924"/>
        <w:gridCol w:w="922"/>
        <w:gridCol w:w="1474"/>
      </w:tblGrid>
      <w:tr>
        <w:tblPrEx>
          <w:tblCellMar>
            <w:top w:w="0" w:type="dxa"/>
            <w:left w:w="108" w:type="dxa"/>
            <w:bottom w:w="0" w:type="dxa"/>
            <w:right w:w="108" w:type="dxa"/>
          </w:tblCellMar>
        </w:tblPrEx>
        <w:trPr>
          <w:wBefore w:w="0" w:type="dxa"/>
          <w:wAfter w:w="0" w:type="dxa"/>
          <w:trHeight w:val="650" w:hRule="atLeast"/>
        </w:trPr>
        <w:tc>
          <w:tcPr>
            <w:tcW w:w="20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宋体"/>
                <w:sz w:val="24"/>
              </w:rPr>
            </w:pPr>
            <w:r>
              <w:rPr>
                <w:rFonts w:hint="eastAsia" w:ascii="仿宋" w:hAnsi="仿宋" w:eastAsia="仿宋" w:cs="宋体"/>
                <w:spacing w:val="2"/>
                <w:kern w:val="0"/>
                <w:sz w:val="24"/>
              </w:rPr>
              <w:t>比选申请人</w:t>
            </w:r>
          </w:p>
        </w:tc>
        <w:tc>
          <w:tcPr>
            <w:tcW w:w="7390" w:type="dxa"/>
            <w:gridSpan w:val="6"/>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kern w:val="0"/>
                <w:sz w:val="24"/>
              </w:rPr>
              <w:t>（名称）</w:t>
            </w:r>
          </w:p>
        </w:tc>
      </w:tr>
      <w:tr>
        <w:tblPrEx>
          <w:tblCellMar>
            <w:top w:w="0" w:type="dxa"/>
            <w:left w:w="108" w:type="dxa"/>
            <w:bottom w:w="0" w:type="dxa"/>
            <w:right w:w="108" w:type="dxa"/>
          </w:tblCellMar>
        </w:tblPrEx>
        <w:trPr>
          <w:wBefore w:w="0" w:type="dxa"/>
          <w:wAfter w:w="0" w:type="dxa"/>
          <w:trHeight w:val="596" w:hRule="atLeast"/>
        </w:trPr>
        <w:tc>
          <w:tcPr>
            <w:tcW w:w="20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宋体"/>
                <w:spacing w:val="2"/>
                <w:kern w:val="0"/>
                <w:sz w:val="24"/>
              </w:rPr>
            </w:pPr>
            <w:r>
              <w:rPr>
                <w:rFonts w:hint="eastAsia" w:ascii="仿宋" w:hAnsi="仿宋" w:eastAsia="仿宋" w:cs="宋体"/>
                <w:spacing w:val="2"/>
                <w:kern w:val="0"/>
                <w:sz w:val="24"/>
              </w:rPr>
              <w:t>注册地址</w:t>
            </w:r>
          </w:p>
        </w:tc>
        <w:tc>
          <w:tcPr>
            <w:tcW w:w="7390" w:type="dxa"/>
            <w:gridSpan w:val="6"/>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trHeight w:val="596" w:hRule="atLeast"/>
        </w:trPr>
        <w:tc>
          <w:tcPr>
            <w:tcW w:w="20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宋体"/>
                <w:spacing w:val="2"/>
                <w:kern w:val="0"/>
                <w:sz w:val="24"/>
              </w:rPr>
            </w:pPr>
            <w:r>
              <w:rPr>
                <w:rFonts w:hint="eastAsia" w:ascii="仿宋" w:hAnsi="仿宋" w:eastAsia="仿宋" w:cs="宋体"/>
                <w:spacing w:val="2"/>
                <w:kern w:val="0"/>
                <w:sz w:val="24"/>
              </w:rPr>
              <w:t>在四川通讯地址</w:t>
            </w:r>
          </w:p>
        </w:tc>
        <w:tc>
          <w:tcPr>
            <w:tcW w:w="7390" w:type="dxa"/>
            <w:gridSpan w:val="6"/>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z w:val="24"/>
              </w:rPr>
              <w:t>（限省外企业填写）</w:t>
            </w:r>
          </w:p>
        </w:tc>
      </w:tr>
      <w:tr>
        <w:tblPrEx>
          <w:tblCellMar>
            <w:top w:w="0" w:type="dxa"/>
            <w:left w:w="108" w:type="dxa"/>
            <w:bottom w:w="0" w:type="dxa"/>
            <w:right w:w="108" w:type="dxa"/>
          </w:tblCellMar>
        </w:tblPrEx>
        <w:trPr>
          <w:wBefore w:w="0" w:type="dxa"/>
          <w:wAfter w:w="0" w:type="dxa"/>
          <w:trHeight w:val="610" w:hRule="atLeast"/>
        </w:trPr>
        <w:tc>
          <w:tcPr>
            <w:tcW w:w="203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宋体"/>
                <w:sz w:val="24"/>
              </w:rPr>
            </w:pPr>
            <w:r>
              <w:rPr>
                <w:rFonts w:hint="eastAsia" w:ascii="仿宋" w:hAnsi="仿宋" w:eastAsia="仿宋" w:cs="宋体"/>
                <w:spacing w:val="2"/>
                <w:kern w:val="0"/>
                <w:sz w:val="24"/>
              </w:rPr>
              <w:t>法定代表人</w:t>
            </w:r>
          </w:p>
          <w:p>
            <w:pPr>
              <w:ind w:left="-90"/>
              <w:jc w:val="center"/>
              <w:rPr>
                <w:rFonts w:hint="eastAsia" w:ascii="仿宋" w:hAnsi="仿宋" w:eastAsia="仿宋" w:cs="宋体"/>
                <w:sz w:val="24"/>
              </w:rPr>
            </w:pPr>
            <w:r>
              <w:rPr>
                <w:rFonts w:hint="eastAsia" w:ascii="仿宋" w:hAnsi="仿宋" w:eastAsia="仿宋" w:cs="宋体"/>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trHeight w:val="604" w:hRule="atLeast"/>
        </w:trPr>
        <w:tc>
          <w:tcPr>
            <w:tcW w:w="203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宋体"/>
                <w:sz w:val="24"/>
              </w:rPr>
            </w:pPr>
            <w:r>
              <w:rPr>
                <w:rFonts w:hint="eastAsia" w:ascii="仿宋" w:hAnsi="仿宋" w:eastAsia="仿宋" w:cs="宋体"/>
                <w:spacing w:val="2"/>
                <w:kern w:val="0"/>
                <w:sz w:val="24"/>
              </w:rPr>
              <w:t>技术负责人</w:t>
            </w:r>
          </w:p>
          <w:p>
            <w:pPr>
              <w:ind w:left="-90"/>
              <w:jc w:val="center"/>
              <w:rPr>
                <w:rFonts w:hint="eastAsia" w:ascii="仿宋" w:hAnsi="仿宋" w:eastAsia="仿宋" w:cs="宋体"/>
                <w:sz w:val="24"/>
              </w:rPr>
            </w:pPr>
            <w:r>
              <w:rPr>
                <w:rFonts w:hint="eastAsia" w:ascii="仿宋" w:hAnsi="仿宋" w:eastAsia="仿宋" w:cs="宋体"/>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trHeight w:val="536" w:hRule="atLeast"/>
        </w:trPr>
        <w:tc>
          <w:tcPr>
            <w:tcW w:w="20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企业资质等级</w:t>
            </w:r>
          </w:p>
        </w:tc>
        <w:tc>
          <w:tcPr>
            <w:tcW w:w="30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19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资格证书编号</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trHeight w:val="600" w:hRule="atLeast"/>
        </w:trPr>
        <w:tc>
          <w:tcPr>
            <w:tcW w:w="20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pacing w:val="2"/>
                <w:kern w:val="0"/>
                <w:sz w:val="24"/>
              </w:rPr>
            </w:pPr>
            <w:r>
              <w:rPr>
                <w:rFonts w:hint="eastAsia" w:ascii="仿宋" w:hAnsi="仿宋" w:eastAsia="仿宋" w:cs="宋体"/>
                <w:spacing w:val="2"/>
                <w:kern w:val="0"/>
                <w:sz w:val="24"/>
              </w:rPr>
              <w:t>营业执照号</w:t>
            </w:r>
          </w:p>
        </w:tc>
        <w:tc>
          <w:tcPr>
            <w:tcW w:w="30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19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pacing w:val="2"/>
                <w:kern w:val="0"/>
                <w:sz w:val="24"/>
              </w:rPr>
            </w:pPr>
            <w:r>
              <w:rPr>
                <w:rFonts w:hint="eastAsia" w:ascii="仿宋" w:hAnsi="仿宋" w:eastAsia="仿宋" w:cs="宋体"/>
                <w:spacing w:val="2"/>
                <w:kern w:val="0"/>
                <w:sz w:val="24"/>
              </w:rPr>
              <w:t>注册资本金</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trHeight w:val="608" w:hRule="atLeast"/>
        </w:trPr>
        <w:tc>
          <w:tcPr>
            <w:tcW w:w="20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pacing w:val="2"/>
                <w:kern w:val="0"/>
                <w:sz w:val="24"/>
              </w:rPr>
            </w:pPr>
            <w:r>
              <w:rPr>
                <w:rFonts w:hint="eastAsia" w:ascii="仿宋" w:hAnsi="仿宋" w:eastAsia="仿宋" w:cs="宋体"/>
                <w:spacing w:val="2"/>
                <w:kern w:val="0"/>
                <w:sz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19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pacing w:val="2"/>
                <w:kern w:val="0"/>
                <w:sz w:val="24"/>
              </w:rPr>
            </w:pPr>
            <w:r>
              <w:rPr>
                <w:rFonts w:hint="eastAsia" w:ascii="仿宋" w:hAnsi="仿宋" w:eastAsia="仿宋" w:cs="宋体"/>
                <w:spacing w:val="2"/>
                <w:kern w:val="0"/>
                <w:sz w:val="24"/>
              </w:rPr>
              <w:t>账号</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cantSplit/>
          <w:trHeight w:val="602" w:hRule="atLeast"/>
        </w:trPr>
        <w:tc>
          <w:tcPr>
            <w:tcW w:w="2036" w:type="dxa"/>
            <w:vMerge w:val="restart"/>
            <w:tcBorders>
              <w:top w:val="single" w:color="auto" w:sz="6" w:space="0"/>
              <w:left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联系方式</w:t>
            </w:r>
          </w:p>
        </w:tc>
        <w:tc>
          <w:tcPr>
            <w:tcW w:w="96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联系人</w:t>
            </w:r>
          </w:p>
        </w:tc>
        <w:tc>
          <w:tcPr>
            <w:tcW w:w="210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19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电话</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cantSplit/>
          <w:trHeight w:val="516" w:hRule="atLeast"/>
        </w:trPr>
        <w:tc>
          <w:tcPr>
            <w:tcW w:w="2036" w:type="dxa"/>
            <w:vMerge w:val="continue"/>
            <w:tcBorders>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96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传  真</w:t>
            </w:r>
          </w:p>
        </w:tc>
        <w:tc>
          <w:tcPr>
            <w:tcW w:w="210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c>
          <w:tcPr>
            <w:tcW w:w="19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电子信箱</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cantSplit/>
          <w:trHeight w:val="1471" w:hRule="atLeast"/>
        </w:trPr>
        <w:tc>
          <w:tcPr>
            <w:tcW w:w="2036" w:type="dxa"/>
            <w:tcBorders>
              <w:top w:val="single" w:color="auto" w:sz="6" w:space="0"/>
              <w:left w:val="single" w:color="auto" w:sz="6"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经营范围</w:t>
            </w:r>
          </w:p>
        </w:tc>
        <w:tc>
          <w:tcPr>
            <w:tcW w:w="7390" w:type="dxa"/>
            <w:gridSpan w:val="6"/>
            <w:tcBorders>
              <w:top w:val="single" w:color="auto" w:sz="6" w:space="0"/>
              <w:left w:val="single" w:color="auto" w:sz="6" w:space="0"/>
              <w:right w:val="single" w:color="auto" w:sz="6" w:space="0"/>
            </w:tcBorders>
            <w:noWrap w:val="0"/>
            <w:vAlign w:val="center"/>
          </w:tcPr>
          <w:p>
            <w:pPr>
              <w:spacing w:line="360" w:lineRule="auto"/>
              <w:rPr>
                <w:rFonts w:hint="eastAsia" w:ascii="仿宋" w:hAnsi="仿宋" w:eastAsia="仿宋" w:cs="宋体"/>
                <w:sz w:val="24"/>
              </w:rPr>
            </w:pPr>
          </w:p>
          <w:p>
            <w:pPr>
              <w:spacing w:line="360" w:lineRule="auto"/>
              <w:rPr>
                <w:rFonts w:hint="eastAsia" w:ascii="仿宋" w:hAnsi="仿宋" w:eastAsia="仿宋" w:cs="宋体"/>
                <w:sz w:val="24"/>
              </w:rPr>
            </w:pPr>
          </w:p>
          <w:p>
            <w:pPr>
              <w:spacing w:line="360" w:lineRule="auto"/>
              <w:rPr>
                <w:rFonts w:hint="eastAsia" w:ascii="仿宋" w:hAnsi="仿宋" w:eastAsia="仿宋" w:cs="宋体"/>
                <w:sz w:val="24"/>
              </w:rPr>
            </w:pPr>
          </w:p>
          <w:p>
            <w:pPr>
              <w:spacing w:line="360" w:lineRule="auto"/>
              <w:rPr>
                <w:rFonts w:hint="eastAsia" w:ascii="仿宋" w:hAnsi="仿宋" w:eastAsia="仿宋" w:cs="宋体"/>
                <w:sz w:val="24"/>
              </w:rPr>
            </w:pPr>
          </w:p>
          <w:p>
            <w:pPr>
              <w:spacing w:line="360" w:lineRule="auto"/>
              <w:rPr>
                <w:rFonts w:hint="eastAsia" w:ascii="仿宋" w:hAnsi="仿宋" w:eastAsia="仿宋" w:cs="宋体"/>
                <w:sz w:val="24"/>
              </w:rPr>
            </w:pPr>
          </w:p>
        </w:tc>
      </w:tr>
      <w:tr>
        <w:tblPrEx>
          <w:tblCellMar>
            <w:top w:w="0" w:type="dxa"/>
            <w:left w:w="108" w:type="dxa"/>
            <w:bottom w:w="0" w:type="dxa"/>
            <w:right w:w="108" w:type="dxa"/>
          </w:tblCellMar>
        </w:tblPrEx>
        <w:trPr>
          <w:wBefore w:w="0" w:type="dxa"/>
          <w:wAfter w:w="0" w:type="dxa"/>
          <w:cantSplit/>
          <w:trHeight w:val="1222" w:hRule="atLeast"/>
        </w:trPr>
        <w:tc>
          <w:tcPr>
            <w:tcW w:w="2036" w:type="dxa"/>
            <w:tcBorders>
              <w:top w:val="single" w:color="auto" w:sz="6" w:space="0"/>
              <w:left w:val="single" w:color="auto" w:sz="6" w:space="0"/>
              <w:bottom w:val="single" w:color="auto" w:sz="4" w:space="0"/>
              <w:right w:val="single" w:color="auto" w:sz="6" w:space="0"/>
            </w:tcBorders>
            <w:noWrap w:val="0"/>
            <w:vAlign w:val="center"/>
          </w:tcPr>
          <w:p>
            <w:pPr>
              <w:spacing w:line="360" w:lineRule="auto"/>
              <w:ind w:left="-90"/>
              <w:jc w:val="center"/>
              <w:rPr>
                <w:rFonts w:hint="eastAsia" w:ascii="仿宋" w:hAnsi="仿宋" w:eastAsia="仿宋" w:cs="宋体"/>
                <w:sz w:val="24"/>
              </w:rPr>
            </w:pPr>
            <w:r>
              <w:rPr>
                <w:rFonts w:hint="eastAsia" w:ascii="仿宋" w:hAnsi="仿宋" w:eastAsia="仿宋" w:cs="宋体"/>
                <w:spacing w:val="2"/>
                <w:kern w:val="0"/>
                <w:sz w:val="24"/>
              </w:rPr>
              <w:t>备注</w:t>
            </w:r>
          </w:p>
        </w:tc>
        <w:tc>
          <w:tcPr>
            <w:tcW w:w="7390" w:type="dxa"/>
            <w:gridSpan w:val="6"/>
            <w:tcBorders>
              <w:top w:val="single" w:color="auto" w:sz="6" w:space="0"/>
              <w:left w:val="single" w:color="auto" w:sz="6" w:space="0"/>
              <w:bottom w:val="single" w:color="auto" w:sz="4" w:space="0"/>
              <w:right w:val="single" w:color="auto" w:sz="6" w:space="0"/>
            </w:tcBorders>
            <w:noWrap w:val="0"/>
            <w:vAlign w:val="center"/>
          </w:tcPr>
          <w:p>
            <w:pPr>
              <w:spacing w:line="360" w:lineRule="auto"/>
              <w:ind w:left="-90"/>
              <w:jc w:val="center"/>
              <w:rPr>
                <w:rFonts w:hint="eastAsia" w:ascii="仿宋" w:hAnsi="仿宋" w:eastAsia="仿宋" w:cs="宋体"/>
                <w:sz w:val="24"/>
              </w:rPr>
            </w:pPr>
          </w:p>
        </w:tc>
      </w:tr>
    </w:tbl>
    <w:p>
      <w:pPr>
        <w:rPr>
          <w:rFonts w:hint="eastAsia" w:ascii="仿宋" w:hAnsi="仿宋" w:eastAsia="仿宋"/>
          <w:sz w:val="28"/>
          <w:szCs w:val="28"/>
        </w:rPr>
      </w:pPr>
      <w:r>
        <w:rPr>
          <w:rFonts w:hint="eastAsia" w:ascii="仿宋" w:hAnsi="仿宋" w:eastAsia="仿宋"/>
          <w:sz w:val="28"/>
          <w:szCs w:val="28"/>
        </w:rPr>
        <w:t>注：在本页后应附相关资质复印件</w:t>
      </w:r>
    </w:p>
    <w:p>
      <w:pPr>
        <w:jc w:val="center"/>
        <w:rPr>
          <w:rFonts w:hint="eastAsia" w:ascii="仿宋" w:hAnsi="仿宋" w:eastAsia="仿宋"/>
          <w:sz w:val="24"/>
        </w:rPr>
      </w:pPr>
    </w:p>
    <w:p>
      <w:pPr>
        <w:jc w:val="center"/>
        <w:rPr>
          <w:rFonts w:hint="eastAsia" w:ascii="仿宋" w:hAnsi="仿宋" w:eastAsia="仿宋"/>
          <w:sz w:val="24"/>
        </w:rPr>
      </w:pPr>
    </w:p>
    <w:p>
      <w:pPr>
        <w:jc w:val="center"/>
        <w:rPr>
          <w:rFonts w:ascii="仿宋" w:hAnsi="仿宋" w:eastAsia="仿宋"/>
          <w:sz w:val="24"/>
        </w:rPr>
      </w:pPr>
    </w:p>
    <w:p>
      <w:pPr>
        <w:pStyle w:val="3"/>
        <w:jc w:val="center"/>
        <w:rPr>
          <w:rFonts w:hint="eastAsia" w:ascii="仿宋" w:hAnsi="仿宋" w:eastAsia="仿宋"/>
          <w:b w:val="0"/>
        </w:rPr>
      </w:pPr>
      <w:bookmarkStart w:id="17" w:name="_Toc467940137"/>
      <w:r>
        <w:rPr>
          <w:rFonts w:hint="eastAsia" w:ascii="仿宋" w:hAnsi="仿宋" w:eastAsia="仿宋"/>
          <w:b w:val="0"/>
        </w:rPr>
        <w:t>4、采购代理机构简介</w:t>
      </w:r>
      <w:bookmarkEnd w:id="17"/>
      <w:r>
        <w:rPr>
          <w:rFonts w:hint="eastAsia" w:ascii="仿宋" w:hAnsi="仿宋" w:eastAsia="仿宋"/>
          <w:b w:val="0"/>
        </w:rPr>
        <w:t>及其它</w:t>
      </w:r>
    </w:p>
    <w:p>
      <w:pPr>
        <w:widowControl/>
        <w:jc w:val="left"/>
        <w:rPr>
          <w:rFonts w:hint="eastAsia" w:ascii="仿宋" w:hAnsi="仿宋" w:eastAsia="仿宋"/>
          <w:sz w:val="28"/>
          <w:szCs w:val="28"/>
        </w:rPr>
      </w:pPr>
    </w:p>
    <w:p>
      <w:pPr>
        <w:widowControl/>
        <w:jc w:val="left"/>
        <w:rPr>
          <w:rFonts w:hint="eastAsia" w:ascii="仿宋" w:hAnsi="仿宋" w:eastAsia="仿宋"/>
          <w:sz w:val="28"/>
          <w:szCs w:val="28"/>
        </w:rPr>
      </w:pPr>
    </w:p>
    <w:p>
      <w:pPr>
        <w:pStyle w:val="3"/>
        <w:adjustRightInd w:val="0"/>
        <w:snapToGrid w:val="0"/>
        <w:spacing w:before="0" w:line="415" w:lineRule="auto"/>
        <w:jc w:val="center"/>
        <w:rPr>
          <w:rFonts w:ascii="仿宋" w:hAnsi="仿宋" w:eastAsia="仿宋"/>
          <w:b w:val="0"/>
        </w:rPr>
      </w:pPr>
      <w:r>
        <w:rPr>
          <w:rFonts w:ascii="仿宋" w:hAnsi="仿宋" w:eastAsia="仿宋"/>
          <w:sz w:val="28"/>
          <w:szCs w:val="28"/>
        </w:rPr>
        <w:br w:type="page"/>
      </w:r>
      <w:bookmarkStart w:id="18" w:name="_Toc467940138"/>
      <w:r>
        <w:rPr>
          <w:rFonts w:hint="eastAsia" w:ascii="仿宋" w:hAnsi="仿宋" w:eastAsia="仿宋"/>
          <w:b w:val="0"/>
        </w:rPr>
        <w:t>5、招标采购代理业绩</w:t>
      </w:r>
      <w:bookmarkEnd w:id="18"/>
    </w:p>
    <w:tbl>
      <w:tblPr>
        <w:tblStyle w:val="17"/>
        <w:tblW w:w="9124" w:type="dxa"/>
        <w:jc w:val="center"/>
        <w:tblLayout w:type="fixed"/>
        <w:tblCellMar>
          <w:top w:w="0" w:type="dxa"/>
          <w:left w:w="108" w:type="dxa"/>
          <w:bottom w:w="0" w:type="dxa"/>
          <w:right w:w="108" w:type="dxa"/>
        </w:tblCellMar>
      </w:tblPr>
      <w:tblGrid>
        <w:gridCol w:w="697"/>
        <w:gridCol w:w="1641"/>
        <w:gridCol w:w="1696"/>
        <w:gridCol w:w="1696"/>
        <w:gridCol w:w="1132"/>
        <w:gridCol w:w="1160"/>
        <w:gridCol w:w="1102"/>
      </w:tblGrid>
      <w:tr>
        <w:tblPrEx>
          <w:tblCellMar>
            <w:top w:w="0" w:type="dxa"/>
            <w:left w:w="108" w:type="dxa"/>
            <w:bottom w:w="0" w:type="dxa"/>
            <w:right w:w="108" w:type="dxa"/>
          </w:tblCellMar>
        </w:tblPrEx>
        <w:trPr>
          <w:wBefore w:w="0" w:type="dxa"/>
          <w:wAfter w:w="0" w:type="dxa"/>
          <w:trHeight w:val="854" w:hRule="atLeast"/>
          <w:jc w:val="center"/>
        </w:trPr>
        <w:tc>
          <w:tcPr>
            <w:tcW w:w="6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kern w:val="0"/>
                <w:szCs w:val="21"/>
              </w:rPr>
            </w:pPr>
            <w:bookmarkStart w:id="19" w:name="_Toc467940139"/>
            <w:r>
              <w:rPr>
                <w:rFonts w:hint="eastAsia" w:ascii="仿宋" w:hAnsi="仿宋" w:eastAsia="仿宋" w:cs="宋体"/>
                <w:b/>
                <w:kern w:val="0"/>
                <w:szCs w:val="21"/>
              </w:rPr>
              <w:t>序号</w:t>
            </w:r>
          </w:p>
        </w:tc>
        <w:tc>
          <w:tcPr>
            <w:tcW w:w="164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采购人</w:t>
            </w:r>
          </w:p>
        </w:tc>
        <w:tc>
          <w:tcPr>
            <w:tcW w:w="169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委托项目名称</w:t>
            </w:r>
          </w:p>
        </w:tc>
        <w:tc>
          <w:tcPr>
            <w:tcW w:w="169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招标/采购编号</w:t>
            </w:r>
          </w:p>
        </w:tc>
        <w:tc>
          <w:tcPr>
            <w:tcW w:w="113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开标时间</w:t>
            </w:r>
          </w:p>
        </w:tc>
        <w:tc>
          <w:tcPr>
            <w:tcW w:w="116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中标金额（万元）</w:t>
            </w:r>
          </w:p>
        </w:tc>
        <w:tc>
          <w:tcPr>
            <w:tcW w:w="110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b/>
                <w:kern w:val="0"/>
                <w:szCs w:val="21"/>
              </w:rPr>
            </w:pPr>
            <w:r>
              <w:rPr>
                <w:rFonts w:hint="eastAsia" w:ascii="仿宋" w:hAnsi="仿宋" w:eastAsia="仿宋" w:cs="宋体"/>
                <w:b/>
                <w:kern w:val="0"/>
                <w:szCs w:val="21"/>
              </w:rPr>
              <w:t>公告网站</w:t>
            </w:r>
          </w:p>
        </w:tc>
      </w:tr>
      <w:tr>
        <w:tblPrEx>
          <w:tblCellMar>
            <w:top w:w="0" w:type="dxa"/>
            <w:left w:w="108" w:type="dxa"/>
            <w:bottom w:w="0" w:type="dxa"/>
            <w:right w:w="108" w:type="dxa"/>
          </w:tblCellMar>
        </w:tblPrEx>
        <w:trPr>
          <w:wBefore w:w="0" w:type="dxa"/>
          <w:wAfter w:w="0" w:type="dxa"/>
          <w:trHeight w:val="593" w:hRule="atLeast"/>
          <w:jc w:val="center"/>
        </w:trPr>
        <w:tc>
          <w:tcPr>
            <w:tcW w:w="69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41"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32"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60"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02" w:type="dxa"/>
            <w:tcBorders>
              <w:top w:val="nil"/>
              <w:left w:val="nil"/>
              <w:bottom w:val="single" w:color="auto" w:sz="4" w:space="0"/>
              <w:right w:val="single" w:color="auto" w:sz="4" w:space="0"/>
            </w:tcBorders>
            <w:shd w:val="clear" w:color="000000" w:fill="FFFFFF"/>
            <w:noWrap w:val="0"/>
            <w:vAlign w:val="top"/>
          </w:tcPr>
          <w:p>
            <w:pPr>
              <w:widowControl/>
              <w:jc w:val="left"/>
              <w:rPr>
                <w:rFonts w:ascii="仿宋" w:hAnsi="仿宋" w:eastAsia="仿宋" w:cs="宋体"/>
                <w:kern w:val="0"/>
                <w:sz w:val="18"/>
                <w:szCs w:val="18"/>
              </w:rPr>
            </w:pPr>
          </w:p>
        </w:tc>
      </w:tr>
      <w:tr>
        <w:tblPrEx>
          <w:tblCellMar>
            <w:top w:w="0" w:type="dxa"/>
            <w:left w:w="108" w:type="dxa"/>
            <w:bottom w:w="0" w:type="dxa"/>
            <w:right w:w="108" w:type="dxa"/>
          </w:tblCellMar>
        </w:tblPrEx>
        <w:trPr>
          <w:wBefore w:w="0" w:type="dxa"/>
          <w:wAfter w:w="0" w:type="dxa"/>
          <w:trHeight w:val="593" w:hRule="atLeast"/>
          <w:jc w:val="center"/>
        </w:trPr>
        <w:tc>
          <w:tcPr>
            <w:tcW w:w="69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41"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32"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60" w:type="dxa"/>
            <w:tcBorders>
              <w:top w:val="nil"/>
              <w:left w:val="nil"/>
              <w:bottom w:val="single" w:color="auto" w:sz="4" w:space="0"/>
              <w:right w:val="single" w:color="auto" w:sz="4" w:space="0"/>
            </w:tcBorders>
            <w:shd w:val="clear" w:color="000000" w:fill="FFFFFF"/>
            <w:noWrap w:val="0"/>
            <w:vAlign w:val="center"/>
          </w:tcPr>
          <w:p>
            <w:pPr>
              <w:widowControl/>
              <w:jc w:val="right"/>
              <w:rPr>
                <w:rFonts w:ascii="仿宋" w:hAnsi="仿宋" w:eastAsia="仿宋" w:cs="宋体"/>
                <w:kern w:val="0"/>
                <w:sz w:val="18"/>
                <w:szCs w:val="18"/>
              </w:rPr>
            </w:pPr>
          </w:p>
        </w:tc>
        <w:tc>
          <w:tcPr>
            <w:tcW w:w="1102" w:type="dxa"/>
            <w:tcBorders>
              <w:top w:val="nil"/>
              <w:left w:val="nil"/>
              <w:bottom w:val="single" w:color="auto" w:sz="4" w:space="0"/>
              <w:right w:val="single" w:color="auto" w:sz="4" w:space="0"/>
            </w:tcBorders>
            <w:shd w:val="clear" w:color="000000" w:fill="FFFFFF"/>
            <w:noWrap w:val="0"/>
            <w:vAlign w:val="top"/>
          </w:tcPr>
          <w:p>
            <w:pPr>
              <w:widowControl/>
              <w:jc w:val="right"/>
              <w:rPr>
                <w:rFonts w:ascii="仿宋" w:hAnsi="仿宋" w:eastAsia="仿宋" w:cs="宋体"/>
                <w:kern w:val="0"/>
                <w:sz w:val="18"/>
                <w:szCs w:val="18"/>
              </w:rPr>
            </w:pPr>
          </w:p>
        </w:tc>
      </w:tr>
      <w:tr>
        <w:tblPrEx>
          <w:tblCellMar>
            <w:top w:w="0" w:type="dxa"/>
            <w:left w:w="108" w:type="dxa"/>
            <w:bottom w:w="0" w:type="dxa"/>
            <w:right w:w="108" w:type="dxa"/>
          </w:tblCellMar>
        </w:tblPrEx>
        <w:trPr>
          <w:wBefore w:w="0" w:type="dxa"/>
          <w:wAfter w:w="0" w:type="dxa"/>
          <w:trHeight w:val="593" w:hRule="atLeast"/>
          <w:jc w:val="center"/>
        </w:trPr>
        <w:tc>
          <w:tcPr>
            <w:tcW w:w="69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41"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32"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60" w:type="dxa"/>
            <w:tcBorders>
              <w:top w:val="nil"/>
              <w:left w:val="nil"/>
              <w:bottom w:val="single" w:color="auto" w:sz="4" w:space="0"/>
              <w:right w:val="single" w:color="auto" w:sz="4" w:space="0"/>
            </w:tcBorders>
            <w:shd w:val="clear" w:color="000000" w:fill="FFFFFF"/>
            <w:noWrap w:val="0"/>
            <w:vAlign w:val="center"/>
          </w:tcPr>
          <w:p>
            <w:pPr>
              <w:widowControl/>
              <w:jc w:val="right"/>
              <w:rPr>
                <w:rFonts w:ascii="仿宋" w:hAnsi="仿宋" w:eastAsia="仿宋" w:cs="宋体"/>
                <w:kern w:val="0"/>
                <w:sz w:val="18"/>
                <w:szCs w:val="18"/>
              </w:rPr>
            </w:pPr>
          </w:p>
        </w:tc>
        <w:tc>
          <w:tcPr>
            <w:tcW w:w="1102" w:type="dxa"/>
            <w:tcBorders>
              <w:top w:val="nil"/>
              <w:left w:val="nil"/>
              <w:bottom w:val="single" w:color="auto" w:sz="4" w:space="0"/>
              <w:right w:val="single" w:color="auto" w:sz="4" w:space="0"/>
            </w:tcBorders>
            <w:shd w:val="clear" w:color="000000" w:fill="FFFFFF"/>
            <w:noWrap w:val="0"/>
            <w:vAlign w:val="top"/>
          </w:tcPr>
          <w:p>
            <w:pPr>
              <w:widowControl/>
              <w:jc w:val="right"/>
              <w:rPr>
                <w:rFonts w:ascii="仿宋" w:hAnsi="仿宋" w:eastAsia="仿宋" w:cs="宋体"/>
                <w:kern w:val="0"/>
                <w:sz w:val="18"/>
                <w:szCs w:val="18"/>
              </w:rPr>
            </w:pPr>
          </w:p>
        </w:tc>
      </w:tr>
      <w:tr>
        <w:tblPrEx>
          <w:tblCellMar>
            <w:top w:w="0" w:type="dxa"/>
            <w:left w:w="108" w:type="dxa"/>
            <w:bottom w:w="0" w:type="dxa"/>
            <w:right w:w="108" w:type="dxa"/>
          </w:tblCellMar>
        </w:tblPrEx>
        <w:trPr>
          <w:wBefore w:w="0" w:type="dxa"/>
          <w:wAfter w:w="0" w:type="dxa"/>
          <w:trHeight w:val="593" w:hRule="atLeast"/>
          <w:jc w:val="center"/>
        </w:trPr>
        <w:tc>
          <w:tcPr>
            <w:tcW w:w="69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41"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32"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60" w:type="dxa"/>
            <w:tcBorders>
              <w:top w:val="nil"/>
              <w:left w:val="nil"/>
              <w:bottom w:val="single" w:color="auto" w:sz="4" w:space="0"/>
              <w:right w:val="single" w:color="auto" w:sz="4" w:space="0"/>
            </w:tcBorders>
            <w:shd w:val="clear" w:color="000000" w:fill="FFFFFF"/>
            <w:noWrap w:val="0"/>
            <w:vAlign w:val="center"/>
          </w:tcPr>
          <w:p>
            <w:pPr>
              <w:widowControl/>
              <w:jc w:val="right"/>
              <w:rPr>
                <w:rFonts w:ascii="仿宋" w:hAnsi="仿宋" w:eastAsia="仿宋" w:cs="宋体"/>
                <w:kern w:val="0"/>
                <w:sz w:val="18"/>
                <w:szCs w:val="18"/>
              </w:rPr>
            </w:pPr>
          </w:p>
        </w:tc>
        <w:tc>
          <w:tcPr>
            <w:tcW w:w="1102" w:type="dxa"/>
            <w:tcBorders>
              <w:top w:val="nil"/>
              <w:left w:val="nil"/>
              <w:bottom w:val="single" w:color="auto" w:sz="4" w:space="0"/>
              <w:right w:val="single" w:color="auto" w:sz="4" w:space="0"/>
            </w:tcBorders>
            <w:shd w:val="clear" w:color="000000" w:fill="FFFFFF"/>
            <w:noWrap w:val="0"/>
            <w:vAlign w:val="top"/>
          </w:tcPr>
          <w:p>
            <w:pPr>
              <w:widowControl/>
              <w:jc w:val="right"/>
              <w:rPr>
                <w:rFonts w:ascii="仿宋" w:hAnsi="仿宋" w:eastAsia="仿宋" w:cs="宋体"/>
                <w:kern w:val="0"/>
                <w:sz w:val="18"/>
                <w:szCs w:val="18"/>
              </w:rPr>
            </w:pPr>
          </w:p>
        </w:tc>
      </w:tr>
      <w:tr>
        <w:tblPrEx>
          <w:tblCellMar>
            <w:top w:w="0" w:type="dxa"/>
            <w:left w:w="108" w:type="dxa"/>
            <w:bottom w:w="0" w:type="dxa"/>
            <w:right w:w="108" w:type="dxa"/>
          </w:tblCellMar>
        </w:tblPrEx>
        <w:trPr>
          <w:wBefore w:w="0" w:type="dxa"/>
          <w:wAfter w:w="0" w:type="dxa"/>
          <w:trHeight w:val="593" w:hRule="atLeast"/>
          <w:jc w:val="center"/>
        </w:trPr>
        <w:tc>
          <w:tcPr>
            <w:tcW w:w="69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41"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32"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60" w:type="dxa"/>
            <w:tcBorders>
              <w:top w:val="nil"/>
              <w:left w:val="nil"/>
              <w:bottom w:val="single" w:color="auto" w:sz="4" w:space="0"/>
              <w:right w:val="single" w:color="auto" w:sz="4" w:space="0"/>
            </w:tcBorders>
            <w:shd w:val="clear" w:color="000000" w:fill="FFFFFF"/>
            <w:noWrap w:val="0"/>
            <w:vAlign w:val="center"/>
          </w:tcPr>
          <w:p>
            <w:pPr>
              <w:widowControl/>
              <w:jc w:val="right"/>
              <w:rPr>
                <w:rFonts w:ascii="仿宋" w:hAnsi="仿宋" w:eastAsia="仿宋" w:cs="宋体"/>
                <w:kern w:val="0"/>
                <w:sz w:val="18"/>
                <w:szCs w:val="18"/>
              </w:rPr>
            </w:pPr>
          </w:p>
        </w:tc>
        <w:tc>
          <w:tcPr>
            <w:tcW w:w="1102" w:type="dxa"/>
            <w:tcBorders>
              <w:top w:val="nil"/>
              <w:left w:val="nil"/>
              <w:bottom w:val="single" w:color="auto" w:sz="4" w:space="0"/>
              <w:right w:val="single" w:color="auto" w:sz="4" w:space="0"/>
            </w:tcBorders>
            <w:shd w:val="clear" w:color="000000" w:fill="FFFFFF"/>
            <w:noWrap w:val="0"/>
            <w:vAlign w:val="top"/>
          </w:tcPr>
          <w:p>
            <w:pPr>
              <w:widowControl/>
              <w:jc w:val="right"/>
              <w:rPr>
                <w:rFonts w:ascii="仿宋" w:hAnsi="仿宋" w:eastAsia="仿宋" w:cs="宋体"/>
                <w:kern w:val="0"/>
                <w:sz w:val="18"/>
                <w:szCs w:val="18"/>
              </w:rPr>
            </w:pPr>
          </w:p>
        </w:tc>
      </w:tr>
      <w:tr>
        <w:tblPrEx>
          <w:tblCellMar>
            <w:top w:w="0" w:type="dxa"/>
            <w:left w:w="108" w:type="dxa"/>
            <w:bottom w:w="0" w:type="dxa"/>
            <w:right w:w="108" w:type="dxa"/>
          </w:tblCellMar>
        </w:tblPrEx>
        <w:trPr>
          <w:wBefore w:w="0" w:type="dxa"/>
          <w:wAfter w:w="0" w:type="dxa"/>
          <w:trHeight w:val="593" w:hRule="atLeast"/>
          <w:jc w:val="center"/>
        </w:trPr>
        <w:tc>
          <w:tcPr>
            <w:tcW w:w="69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41"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32"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60"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02" w:type="dxa"/>
            <w:tcBorders>
              <w:top w:val="nil"/>
              <w:left w:val="nil"/>
              <w:bottom w:val="single" w:color="auto" w:sz="4" w:space="0"/>
              <w:right w:val="single" w:color="auto" w:sz="4" w:space="0"/>
            </w:tcBorders>
            <w:shd w:val="clear" w:color="000000" w:fill="FFFFFF"/>
            <w:noWrap w:val="0"/>
            <w:vAlign w:val="top"/>
          </w:tcPr>
          <w:p>
            <w:pPr>
              <w:widowControl/>
              <w:jc w:val="left"/>
              <w:rPr>
                <w:rFonts w:ascii="仿宋" w:hAnsi="仿宋" w:eastAsia="仿宋" w:cs="宋体"/>
                <w:kern w:val="0"/>
                <w:sz w:val="18"/>
                <w:szCs w:val="18"/>
              </w:rPr>
            </w:pPr>
          </w:p>
        </w:tc>
      </w:tr>
      <w:tr>
        <w:tblPrEx>
          <w:tblCellMar>
            <w:top w:w="0" w:type="dxa"/>
            <w:left w:w="108" w:type="dxa"/>
            <w:bottom w:w="0" w:type="dxa"/>
            <w:right w:w="108" w:type="dxa"/>
          </w:tblCellMar>
        </w:tblPrEx>
        <w:trPr>
          <w:wBefore w:w="0" w:type="dxa"/>
          <w:wAfter w:w="0" w:type="dxa"/>
          <w:trHeight w:val="593" w:hRule="atLeast"/>
          <w:jc w:val="center"/>
        </w:trPr>
        <w:tc>
          <w:tcPr>
            <w:tcW w:w="69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41"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696"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32"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18"/>
                <w:szCs w:val="18"/>
              </w:rPr>
            </w:pPr>
          </w:p>
        </w:tc>
        <w:tc>
          <w:tcPr>
            <w:tcW w:w="1160" w:type="dxa"/>
            <w:tcBorders>
              <w:top w:val="nil"/>
              <w:left w:val="nil"/>
              <w:bottom w:val="single" w:color="auto" w:sz="4" w:space="0"/>
              <w:right w:val="single" w:color="auto" w:sz="4" w:space="0"/>
            </w:tcBorders>
            <w:shd w:val="clear" w:color="000000" w:fill="FFFFFF"/>
            <w:noWrap w:val="0"/>
            <w:vAlign w:val="center"/>
          </w:tcPr>
          <w:p>
            <w:pPr>
              <w:widowControl/>
              <w:jc w:val="right"/>
              <w:rPr>
                <w:rFonts w:ascii="仿宋" w:hAnsi="仿宋" w:eastAsia="仿宋" w:cs="宋体"/>
                <w:kern w:val="0"/>
                <w:sz w:val="18"/>
                <w:szCs w:val="18"/>
              </w:rPr>
            </w:pPr>
          </w:p>
        </w:tc>
        <w:tc>
          <w:tcPr>
            <w:tcW w:w="1102" w:type="dxa"/>
            <w:tcBorders>
              <w:top w:val="nil"/>
              <w:left w:val="nil"/>
              <w:bottom w:val="single" w:color="auto" w:sz="4" w:space="0"/>
              <w:right w:val="single" w:color="auto" w:sz="4" w:space="0"/>
            </w:tcBorders>
            <w:shd w:val="clear" w:color="000000" w:fill="FFFFFF"/>
            <w:noWrap w:val="0"/>
            <w:vAlign w:val="top"/>
          </w:tcPr>
          <w:p>
            <w:pPr>
              <w:widowControl/>
              <w:jc w:val="right"/>
              <w:rPr>
                <w:rFonts w:ascii="仿宋" w:hAnsi="仿宋" w:eastAsia="仿宋" w:cs="宋体"/>
                <w:kern w:val="0"/>
                <w:sz w:val="18"/>
                <w:szCs w:val="18"/>
              </w:rPr>
            </w:pPr>
          </w:p>
        </w:tc>
      </w:tr>
    </w:tbl>
    <w:p>
      <w:pPr>
        <w:rPr>
          <w:rFonts w:hint="eastAsia" w:ascii="仿宋" w:hAnsi="仿宋" w:eastAsia="仿宋"/>
          <w:sz w:val="24"/>
          <w:szCs w:val="24"/>
        </w:rPr>
      </w:pPr>
      <w:r>
        <w:rPr>
          <w:rFonts w:ascii="仿宋" w:hAnsi="仿宋" w:eastAsia="仿宋"/>
          <w:sz w:val="24"/>
          <w:szCs w:val="24"/>
        </w:rPr>
        <w:t>注</w:t>
      </w:r>
      <w:r>
        <w:rPr>
          <w:rFonts w:hint="eastAsia" w:ascii="仿宋" w:hAnsi="仿宋" w:eastAsia="仿宋"/>
          <w:sz w:val="24"/>
          <w:szCs w:val="24"/>
        </w:rPr>
        <w:t>：针对本表“</w:t>
      </w:r>
      <w:r>
        <w:rPr>
          <w:rFonts w:ascii="仿宋" w:hAnsi="仿宋" w:eastAsia="仿宋"/>
          <w:sz w:val="24"/>
          <w:szCs w:val="24"/>
        </w:rPr>
        <w:t>公告网站</w:t>
      </w:r>
      <w:r>
        <w:rPr>
          <w:rFonts w:hint="eastAsia" w:ascii="仿宋" w:hAnsi="仿宋" w:eastAsia="仿宋"/>
          <w:sz w:val="24"/>
          <w:szCs w:val="24"/>
        </w:rPr>
        <w:t>”</w:t>
      </w:r>
      <w:r>
        <w:rPr>
          <w:rFonts w:ascii="仿宋" w:hAnsi="仿宋" w:eastAsia="仿宋"/>
          <w:sz w:val="24"/>
          <w:szCs w:val="24"/>
        </w:rPr>
        <w:t>的填写</w:t>
      </w:r>
      <w:r>
        <w:rPr>
          <w:rFonts w:hint="eastAsia" w:ascii="仿宋" w:hAnsi="仿宋" w:eastAsia="仿宋"/>
          <w:sz w:val="24"/>
          <w:szCs w:val="24"/>
        </w:rPr>
        <w:t>，</w:t>
      </w:r>
      <w:r>
        <w:rPr>
          <w:rFonts w:ascii="仿宋" w:hAnsi="仿宋" w:eastAsia="仿宋"/>
          <w:sz w:val="24"/>
          <w:szCs w:val="24"/>
        </w:rPr>
        <w:t>如果属于政府采购项目</w:t>
      </w:r>
      <w:r>
        <w:rPr>
          <w:rFonts w:hint="eastAsia" w:ascii="仿宋" w:hAnsi="仿宋" w:eastAsia="仿宋"/>
          <w:sz w:val="24"/>
          <w:szCs w:val="24"/>
        </w:rPr>
        <w:t>，</w:t>
      </w:r>
      <w:r>
        <w:rPr>
          <w:rFonts w:ascii="仿宋" w:hAnsi="仿宋" w:eastAsia="仿宋"/>
          <w:sz w:val="24"/>
          <w:szCs w:val="24"/>
        </w:rPr>
        <w:t>只能填写财政部门的</w:t>
      </w:r>
      <w:r>
        <w:rPr>
          <w:rFonts w:hint="eastAsia" w:ascii="仿宋" w:hAnsi="仿宋" w:eastAsia="仿宋"/>
          <w:sz w:val="24"/>
          <w:szCs w:val="24"/>
        </w:rPr>
        <w:t>《四川政府采购网》或《中国政府采购网》；如果属于非</w:t>
      </w:r>
      <w:r>
        <w:rPr>
          <w:rFonts w:ascii="仿宋" w:hAnsi="仿宋" w:eastAsia="仿宋"/>
          <w:sz w:val="24"/>
          <w:szCs w:val="24"/>
        </w:rPr>
        <w:t>政府采购项目</w:t>
      </w:r>
      <w:r>
        <w:rPr>
          <w:rFonts w:hint="eastAsia" w:ascii="仿宋" w:hAnsi="仿宋" w:eastAsia="仿宋"/>
          <w:sz w:val="24"/>
          <w:szCs w:val="24"/>
        </w:rPr>
        <w:t>，须填写《中国招标投标公共服务平台》或采购人及主管部门认可的其它发布媒介。</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hint="eastAsia"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pStyle w:val="3"/>
        <w:jc w:val="center"/>
        <w:rPr>
          <w:rFonts w:hint="eastAsia" w:ascii="仿宋" w:hAnsi="仿宋" w:eastAsia="仿宋"/>
          <w:b w:val="0"/>
        </w:rPr>
      </w:pPr>
      <w:r>
        <w:rPr>
          <w:rFonts w:hint="eastAsia" w:ascii="仿宋" w:hAnsi="仿宋" w:eastAsia="仿宋"/>
          <w:b w:val="0"/>
        </w:rPr>
        <w:t>6、拟投入本项目的人员情况</w:t>
      </w:r>
      <w:bookmarkEnd w:id="19"/>
    </w:p>
    <w:p>
      <w:pPr>
        <w:spacing w:line="420" w:lineRule="auto"/>
        <w:ind w:firstLine="480"/>
        <w:rPr>
          <w:rFonts w:hint="eastAsia" w:ascii="仿宋" w:hAnsi="仿宋" w:eastAsia="仿宋"/>
          <w:b/>
          <w:bCs/>
          <w:sz w:val="28"/>
          <w:szCs w:val="28"/>
        </w:rPr>
      </w:pPr>
    </w:p>
    <w:p>
      <w:pPr>
        <w:spacing w:line="420" w:lineRule="auto"/>
        <w:ind w:firstLine="480"/>
        <w:rPr>
          <w:rFonts w:hint="eastAsia" w:ascii="仿宋" w:hAnsi="仿宋" w:eastAsia="仿宋"/>
          <w:b/>
          <w:bCs/>
          <w:sz w:val="28"/>
          <w:szCs w:val="28"/>
        </w:rPr>
      </w:pPr>
    </w:p>
    <w:p>
      <w:pPr>
        <w:pStyle w:val="3"/>
        <w:jc w:val="center"/>
        <w:rPr>
          <w:rFonts w:ascii="仿宋" w:hAnsi="仿宋" w:eastAsia="仿宋"/>
          <w:b w:val="0"/>
        </w:rPr>
      </w:pPr>
      <w:r>
        <w:rPr>
          <w:rFonts w:ascii="仿宋" w:hAnsi="仿宋" w:eastAsia="仿宋"/>
          <w:b w:val="0"/>
        </w:rPr>
        <w:br w:type="page"/>
      </w:r>
      <w:bookmarkStart w:id="20" w:name="_Toc467940140"/>
      <w:r>
        <w:rPr>
          <w:rFonts w:hint="eastAsia" w:ascii="仿宋" w:hAnsi="仿宋" w:eastAsia="仿宋"/>
          <w:b w:val="0"/>
        </w:rPr>
        <w:t>7、</w:t>
      </w:r>
      <w:bookmarkEnd w:id="20"/>
      <w:r>
        <w:rPr>
          <w:rFonts w:hint="eastAsia" w:ascii="仿宋" w:hAnsi="仿宋" w:eastAsia="仿宋"/>
          <w:b w:val="0"/>
        </w:rPr>
        <w:t>服务方案</w:t>
      </w:r>
    </w:p>
    <w:p>
      <w:pPr>
        <w:pStyle w:val="3"/>
        <w:jc w:val="center"/>
        <w:rPr>
          <w:rFonts w:ascii="仿宋" w:hAnsi="仿宋" w:eastAsia="仿宋"/>
          <w:b w:val="0"/>
        </w:rPr>
      </w:pPr>
      <w:r>
        <w:rPr>
          <w:rFonts w:ascii="仿宋" w:hAnsi="仿宋" w:eastAsia="仿宋"/>
          <w:b w:val="0"/>
        </w:rPr>
        <w:br w:type="page"/>
      </w:r>
      <w:r>
        <w:rPr>
          <w:rFonts w:ascii="仿宋" w:hAnsi="仿宋" w:eastAsia="仿宋"/>
          <w:b w:val="0"/>
        </w:rPr>
        <w:t>8</w:t>
      </w:r>
      <w:r>
        <w:rPr>
          <w:rFonts w:hint="eastAsia" w:ascii="仿宋" w:hAnsi="仿宋" w:eastAsia="仿宋"/>
          <w:b w:val="0"/>
        </w:rPr>
        <w:t>、其他</w:t>
      </w:r>
    </w:p>
    <w:p>
      <w:pPr>
        <w:pStyle w:val="3"/>
        <w:jc w:val="center"/>
        <w:rPr>
          <w:rFonts w:hint="eastAsia"/>
        </w:rPr>
      </w:pPr>
      <w:r>
        <w:rPr>
          <w:rFonts w:hint="eastAsia" w:ascii="仿宋" w:hAnsi="仿宋" w:eastAsia="仿宋"/>
          <w:b w:val="0"/>
        </w:rPr>
        <w:t>（若有，比选申请人可自拟格式）</w:t>
      </w:r>
    </w:p>
    <w:p>
      <w:pPr>
        <w:widowControl/>
        <w:jc w:val="left"/>
        <w:rPr>
          <w:rFonts w:hint="eastAsia" w:ascii="宋体" w:hAnsi="宋体" w:cs="宋体"/>
          <w:kern w:val="0"/>
          <w:sz w:val="28"/>
          <w:szCs w:val="28"/>
        </w:rPr>
      </w:pPr>
    </w:p>
    <w:p>
      <w:pPr>
        <w:widowControl/>
        <w:jc w:val="left"/>
        <w:rPr>
          <w:rFonts w:hint="eastAsia" w:ascii="宋体" w:hAnsi="宋体" w:cs="宋体"/>
          <w:kern w:val="0"/>
          <w:sz w:val="28"/>
          <w:szCs w:val="28"/>
        </w:rPr>
      </w:pPr>
    </w:p>
    <w:p>
      <w:pPr>
        <w:pStyle w:val="2"/>
        <w:spacing w:line="360" w:lineRule="auto"/>
        <w:rPr>
          <w:rFonts w:hint="eastAsia" w:ascii="仿宋_GB2312" w:eastAsia="仿宋_GB2312"/>
          <w:sz w:val="28"/>
          <w:szCs w:val="28"/>
        </w:rPr>
      </w:pPr>
      <w:r>
        <w:rPr>
          <w:rFonts w:hint="eastAsia" w:ascii="仿宋_GB2312" w:eastAsia="仿宋_GB2312"/>
          <w:sz w:val="28"/>
          <w:szCs w:val="28"/>
        </w:rPr>
        <w:t xml:space="preserve"> </w:t>
      </w:r>
    </w:p>
    <w:sectPr>
      <w:footerReference r:id="rId3" w:type="default"/>
      <w:footerReference r:id="rId4" w:type="even"/>
      <w:pgSz w:w="11906" w:h="16838"/>
      <w:pgMar w:top="1440" w:right="1416"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lang/>
      </w:rPr>
      <w:t>6</w:t>
    </w:r>
    <w:r>
      <w:fldChar w:fldCharType="end"/>
    </w:r>
  </w:p>
  <w:p>
    <w:pPr>
      <w:pStyle w:val="11"/>
      <w:jc w:val="right"/>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7F"/>
    <w:rsid w:val="00000486"/>
    <w:rsid w:val="00003E4B"/>
    <w:rsid w:val="0000420B"/>
    <w:rsid w:val="0000517F"/>
    <w:rsid w:val="000074E8"/>
    <w:rsid w:val="00007876"/>
    <w:rsid w:val="0002084D"/>
    <w:rsid w:val="00021AFE"/>
    <w:rsid w:val="000236A3"/>
    <w:rsid w:val="00023EB4"/>
    <w:rsid w:val="00023FE2"/>
    <w:rsid w:val="00025FA8"/>
    <w:rsid w:val="00027EDC"/>
    <w:rsid w:val="00030090"/>
    <w:rsid w:val="00034FA6"/>
    <w:rsid w:val="00036CD6"/>
    <w:rsid w:val="000452C8"/>
    <w:rsid w:val="00045D20"/>
    <w:rsid w:val="000526CA"/>
    <w:rsid w:val="0005434B"/>
    <w:rsid w:val="0005742F"/>
    <w:rsid w:val="0006126B"/>
    <w:rsid w:val="00062360"/>
    <w:rsid w:val="00062499"/>
    <w:rsid w:val="00063FCE"/>
    <w:rsid w:val="00067AFF"/>
    <w:rsid w:val="0007033F"/>
    <w:rsid w:val="0007035E"/>
    <w:rsid w:val="00072827"/>
    <w:rsid w:val="00083F1A"/>
    <w:rsid w:val="00084461"/>
    <w:rsid w:val="00085EB8"/>
    <w:rsid w:val="00087269"/>
    <w:rsid w:val="00092A6C"/>
    <w:rsid w:val="0009362B"/>
    <w:rsid w:val="000955B1"/>
    <w:rsid w:val="0009598E"/>
    <w:rsid w:val="000A0A74"/>
    <w:rsid w:val="000A1DC0"/>
    <w:rsid w:val="000A4B66"/>
    <w:rsid w:val="000A74A9"/>
    <w:rsid w:val="000A7D5B"/>
    <w:rsid w:val="000B214D"/>
    <w:rsid w:val="000B5A42"/>
    <w:rsid w:val="000B6772"/>
    <w:rsid w:val="000B7E5A"/>
    <w:rsid w:val="000C03F1"/>
    <w:rsid w:val="000C12C8"/>
    <w:rsid w:val="000C1462"/>
    <w:rsid w:val="000C771F"/>
    <w:rsid w:val="000C7DA4"/>
    <w:rsid w:val="000D4686"/>
    <w:rsid w:val="000D6585"/>
    <w:rsid w:val="000D774C"/>
    <w:rsid w:val="000D77F6"/>
    <w:rsid w:val="000E078F"/>
    <w:rsid w:val="000E095C"/>
    <w:rsid w:val="000E3930"/>
    <w:rsid w:val="000E40A5"/>
    <w:rsid w:val="000E4B35"/>
    <w:rsid w:val="000E7011"/>
    <w:rsid w:val="000F03A6"/>
    <w:rsid w:val="000F4BD4"/>
    <w:rsid w:val="000F65F2"/>
    <w:rsid w:val="001023ED"/>
    <w:rsid w:val="00103400"/>
    <w:rsid w:val="001036D9"/>
    <w:rsid w:val="00105C28"/>
    <w:rsid w:val="001061D2"/>
    <w:rsid w:val="001063F8"/>
    <w:rsid w:val="00110C0C"/>
    <w:rsid w:val="00110FD3"/>
    <w:rsid w:val="0011499F"/>
    <w:rsid w:val="0011664A"/>
    <w:rsid w:val="00120711"/>
    <w:rsid w:val="00122DE6"/>
    <w:rsid w:val="00123A22"/>
    <w:rsid w:val="001266AD"/>
    <w:rsid w:val="00126AAE"/>
    <w:rsid w:val="00127A67"/>
    <w:rsid w:val="0013078D"/>
    <w:rsid w:val="00136A9F"/>
    <w:rsid w:val="00143915"/>
    <w:rsid w:val="00145003"/>
    <w:rsid w:val="0014567A"/>
    <w:rsid w:val="00152816"/>
    <w:rsid w:val="00157397"/>
    <w:rsid w:val="00161253"/>
    <w:rsid w:val="00161F8C"/>
    <w:rsid w:val="00163FA9"/>
    <w:rsid w:val="00170922"/>
    <w:rsid w:val="001720C4"/>
    <w:rsid w:val="00174B7F"/>
    <w:rsid w:val="00184536"/>
    <w:rsid w:val="001854C8"/>
    <w:rsid w:val="00185D60"/>
    <w:rsid w:val="001872D3"/>
    <w:rsid w:val="0019069B"/>
    <w:rsid w:val="00192792"/>
    <w:rsid w:val="00194E98"/>
    <w:rsid w:val="001961C5"/>
    <w:rsid w:val="00196CE3"/>
    <w:rsid w:val="00196E2C"/>
    <w:rsid w:val="001A08A2"/>
    <w:rsid w:val="001A1930"/>
    <w:rsid w:val="001A1BF5"/>
    <w:rsid w:val="001A1D2A"/>
    <w:rsid w:val="001A1E2D"/>
    <w:rsid w:val="001A3850"/>
    <w:rsid w:val="001A4AF3"/>
    <w:rsid w:val="001A56B7"/>
    <w:rsid w:val="001B37B0"/>
    <w:rsid w:val="001C30DD"/>
    <w:rsid w:val="001C59B1"/>
    <w:rsid w:val="001C5B5E"/>
    <w:rsid w:val="001D12BF"/>
    <w:rsid w:val="001D3619"/>
    <w:rsid w:val="001D50BA"/>
    <w:rsid w:val="001D6891"/>
    <w:rsid w:val="001E018F"/>
    <w:rsid w:val="001E0219"/>
    <w:rsid w:val="001E45D8"/>
    <w:rsid w:val="001E4DEC"/>
    <w:rsid w:val="001E5470"/>
    <w:rsid w:val="001E750D"/>
    <w:rsid w:val="001E78AD"/>
    <w:rsid w:val="001F134C"/>
    <w:rsid w:val="001F383C"/>
    <w:rsid w:val="001F4A21"/>
    <w:rsid w:val="001F5E69"/>
    <w:rsid w:val="001F6A1F"/>
    <w:rsid w:val="001F6F73"/>
    <w:rsid w:val="00200D52"/>
    <w:rsid w:val="00201F15"/>
    <w:rsid w:val="00202598"/>
    <w:rsid w:val="00202DA7"/>
    <w:rsid w:val="00203EE0"/>
    <w:rsid w:val="002061CC"/>
    <w:rsid w:val="00206DCD"/>
    <w:rsid w:val="00212719"/>
    <w:rsid w:val="00213C52"/>
    <w:rsid w:val="0021724D"/>
    <w:rsid w:val="0022177F"/>
    <w:rsid w:val="00224380"/>
    <w:rsid w:val="0022556C"/>
    <w:rsid w:val="00225612"/>
    <w:rsid w:val="0022625C"/>
    <w:rsid w:val="002269F2"/>
    <w:rsid w:val="002344C1"/>
    <w:rsid w:val="0023537A"/>
    <w:rsid w:val="002370CF"/>
    <w:rsid w:val="00237E7D"/>
    <w:rsid w:val="002404DC"/>
    <w:rsid w:val="0024179A"/>
    <w:rsid w:val="0024376B"/>
    <w:rsid w:val="00244F28"/>
    <w:rsid w:val="00245437"/>
    <w:rsid w:val="00246495"/>
    <w:rsid w:val="00246CA4"/>
    <w:rsid w:val="00253172"/>
    <w:rsid w:val="002532E9"/>
    <w:rsid w:val="0025343E"/>
    <w:rsid w:val="0025518A"/>
    <w:rsid w:val="0025678A"/>
    <w:rsid w:val="002612DF"/>
    <w:rsid w:val="0026358B"/>
    <w:rsid w:val="00264C97"/>
    <w:rsid w:val="0026609F"/>
    <w:rsid w:val="00267208"/>
    <w:rsid w:val="00271AEB"/>
    <w:rsid w:val="00271B98"/>
    <w:rsid w:val="0027420A"/>
    <w:rsid w:val="00274FC4"/>
    <w:rsid w:val="00275753"/>
    <w:rsid w:val="0028245A"/>
    <w:rsid w:val="00283086"/>
    <w:rsid w:val="00284B0E"/>
    <w:rsid w:val="00286158"/>
    <w:rsid w:val="002863CF"/>
    <w:rsid w:val="00287E4D"/>
    <w:rsid w:val="002932FE"/>
    <w:rsid w:val="0029719D"/>
    <w:rsid w:val="002A0AA0"/>
    <w:rsid w:val="002A1F28"/>
    <w:rsid w:val="002A35DC"/>
    <w:rsid w:val="002B00F3"/>
    <w:rsid w:val="002B1AFB"/>
    <w:rsid w:val="002B1AFF"/>
    <w:rsid w:val="002B2B31"/>
    <w:rsid w:val="002B47F3"/>
    <w:rsid w:val="002B4906"/>
    <w:rsid w:val="002B7EFF"/>
    <w:rsid w:val="002C0C99"/>
    <w:rsid w:val="002C24C6"/>
    <w:rsid w:val="002C3D97"/>
    <w:rsid w:val="002C4268"/>
    <w:rsid w:val="002C48D3"/>
    <w:rsid w:val="002C5122"/>
    <w:rsid w:val="002C5851"/>
    <w:rsid w:val="002C5D1F"/>
    <w:rsid w:val="002C63CE"/>
    <w:rsid w:val="002C6574"/>
    <w:rsid w:val="002C67E3"/>
    <w:rsid w:val="002C78A0"/>
    <w:rsid w:val="002D4AAA"/>
    <w:rsid w:val="002D5148"/>
    <w:rsid w:val="002D737C"/>
    <w:rsid w:val="002D78F6"/>
    <w:rsid w:val="002E0A98"/>
    <w:rsid w:val="002E397B"/>
    <w:rsid w:val="002E58F5"/>
    <w:rsid w:val="002E6C69"/>
    <w:rsid w:val="002E6E39"/>
    <w:rsid w:val="002E7F5E"/>
    <w:rsid w:val="002E7FC5"/>
    <w:rsid w:val="002F14EA"/>
    <w:rsid w:val="002F29AD"/>
    <w:rsid w:val="0030299E"/>
    <w:rsid w:val="00302A26"/>
    <w:rsid w:val="00304C16"/>
    <w:rsid w:val="003055D7"/>
    <w:rsid w:val="003059B4"/>
    <w:rsid w:val="003222CB"/>
    <w:rsid w:val="00322904"/>
    <w:rsid w:val="003257AD"/>
    <w:rsid w:val="00334A5F"/>
    <w:rsid w:val="00334C2C"/>
    <w:rsid w:val="00335075"/>
    <w:rsid w:val="00335E10"/>
    <w:rsid w:val="00337402"/>
    <w:rsid w:val="0034195F"/>
    <w:rsid w:val="00342484"/>
    <w:rsid w:val="003428DC"/>
    <w:rsid w:val="00342E3C"/>
    <w:rsid w:val="00347117"/>
    <w:rsid w:val="00353039"/>
    <w:rsid w:val="003542C4"/>
    <w:rsid w:val="00355F2D"/>
    <w:rsid w:val="00364110"/>
    <w:rsid w:val="00367AAD"/>
    <w:rsid w:val="003700DF"/>
    <w:rsid w:val="0037032B"/>
    <w:rsid w:val="00373064"/>
    <w:rsid w:val="00373755"/>
    <w:rsid w:val="0037632B"/>
    <w:rsid w:val="003773B0"/>
    <w:rsid w:val="00381871"/>
    <w:rsid w:val="003910A3"/>
    <w:rsid w:val="0039418F"/>
    <w:rsid w:val="003961ED"/>
    <w:rsid w:val="003968CA"/>
    <w:rsid w:val="00397C4F"/>
    <w:rsid w:val="003A17DF"/>
    <w:rsid w:val="003A3415"/>
    <w:rsid w:val="003A540C"/>
    <w:rsid w:val="003A5944"/>
    <w:rsid w:val="003A6EA8"/>
    <w:rsid w:val="003B0E5B"/>
    <w:rsid w:val="003B1A51"/>
    <w:rsid w:val="003B6F7F"/>
    <w:rsid w:val="003B7EBF"/>
    <w:rsid w:val="003C1677"/>
    <w:rsid w:val="003C4473"/>
    <w:rsid w:val="003C541B"/>
    <w:rsid w:val="003C5A49"/>
    <w:rsid w:val="003D1313"/>
    <w:rsid w:val="003D2154"/>
    <w:rsid w:val="003D721D"/>
    <w:rsid w:val="003D7A78"/>
    <w:rsid w:val="003E737D"/>
    <w:rsid w:val="003F374E"/>
    <w:rsid w:val="003F596A"/>
    <w:rsid w:val="003F6E0F"/>
    <w:rsid w:val="003F7604"/>
    <w:rsid w:val="0040002D"/>
    <w:rsid w:val="004022E5"/>
    <w:rsid w:val="00404EC9"/>
    <w:rsid w:val="00406577"/>
    <w:rsid w:val="0041060F"/>
    <w:rsid w:val="00413315"/>
    <w:rsid w:val="00413357"/>
    <w:rsid w:val="004147FF"/>
    <w:rsid w:val="00420577"/>
    <w:rsid w:val="004206BA"/>
    <w:rsid w:val="00422B7B"/>
    <w:rsid w:val="00423391"/>
    <w:rsid w:val="00423D44"/>
    <w:rsid w:val="0042704B"/>
    <w:rsid w:val="00431638"/>
    <w:rsid w:val="004329FF"/>
    <w:rsid w:val="00433B3B"/>
    <w:rsid w:val="0043540D"/>
    <w:rsid w:val="0043790D"/>
    <w:rsid w:val="00440501"/>
    <w:rsid w:val="00441F50"/>
    <w:rsid w:val="00442675"/>
    <w:rsid w:val="00446D4A"/>
    <w:rsid w:val="0044759C"/>
    <w:rsid w:val="004514E1"/>
    <w:rsid w:val="004551AF"/>
    <w:rsid w:val="00456BBA"/>
    <w:rsid w:val="00457208"/>
    <w:rsid w:val="00461772"/>
    <w:rsid w:val="004626CC"/>
    <w:rsid w:val="00470142"/>
    <w:rsid w:val="00471605"/>
    <w:rsid w:val="0047167B"/>
    <w:rsid w:val="00473D6F"/>
    <w:rsid w:val="00473F04"/>
    <w:rsid w:val="0047701F"/>
    <w:rsid w:val="00482341"/>
    <w:rsid w:val="00485FEF"/>
    <w:rsid w:val="00486F98"/>
    <w:rsid w:val="00490738"/>
    <w:rsid w:val="0049129D"/>
    <w:rsid w:val="00491DCE"/>
    <w:rsid w:val="00491E1F"/>
    <w:rsid w:val="00495CC7"/>
    <w:rsid w:val="004966F7"/>
    <w:rsid w:val="004A424B"/>
    <w:rsid w:val="004A4782"/>
    <w:rsid w:val="004A483D"/>
    <w:rsid w:val="004A6DBB"/>
    <w:rsid w:val="004A72D5"/>
    <w:rsid w:val="004B174F"/>
    <w:rsid w:val="004B2905"/>
    <w:rsid w:val="004B5F25"/>
    <w:rsid w:val="004B7DEE"/>
    <w:rsid w:val="004B7EB0"/>
    <w:rsid w:val="004C2F76"/>
    <w:rsid w:val="004C7848"/>
    <w:rsid w:val="004D1903"/>
    <w:rsid w:val="004D293E"/>
    <w:rsid w:val="004D5E06"/>
    <w:rsid w:val="004D683E"/>
    <w:rsid w:val="004E0A62"/>
    <w:rsid w:val="004E3850"/>
    <w:rsid w:val="004E5162"/>
    <w:rsid w:val="004E56DD"/>
    <w:rsid w:val="004E57E5"/>
    <w:rsid w:val="004E6EE2"/>
    <w:rsid w:val="004E70D2"/>
    <w:rsid w:val="004E7D77"/>
    <w:rsid w:val="004F1144"/>
    <w:rsid w:val="004F38A0"/>
    <w:rsid w:val="004F4BA5"/>
    <w:rsid w:val="004F60F0"/>
    <w:rsid w:val="005029EA"/>
    <w:rsid w:val="0050396F"/>
    <w:rsid w:val="00503F01"/>
    <w:rsid w:val="00504790"/>
    <w:rsid w:val="00504AE7"/>
    <w:rsid w:val="0050748C"/>
    <w:rsid w:val="0051583D"/>
    <w:rsid w:val="00517BCE"/>
    <w:rsid w:val="00524F93"/>
    <w:rsid w:val="00525B1C"/>
    <w:rsid w:val="00526449"/>
    <w:rsid w:val="00527A6E"/>
    <w:rsid w:val="00530051"/>
    <w:rsid w:val="0053058C"/>
    <w:rsid w:val="0053099B"/>
    <w:rsid w:val="00532CFE"/>
    <w:rsid w:val="0053651B"/>
    <w:rsid w:val="00537D0C"/>
    <w:rsid w:val="00543CF0"/>
    <w:rsid w:val="00546ACF"/>
    <w:rsid w:val="00550904"/>
    <w:rsid w:val="00550AA3"/>
    <w:rsid w:val="005510F8"/>
    <w:rsid w:val="0055147E"/>
    <w:rsid w:val="005543DE"/>
    <w:rsid w:val="00560AEF"/>
    <w:rsid w:val="00560C93"/>
    <w:rsid w:val="00561F99"/>
    <w:rsid w:val="00565E7B"/>
    <w:rsid w:val="00566356"/>
    <w:rsid w:val="00571A37"/>
    <w:rsid w:val="00572AC7"/>
    <w:rsid w:val="00573326"/>
    <w:rsid w:val="00574E23"/>
    <w:rsid w:val="005759C1"/>
    <w:rsid w:val="00575CA9"/>
    <w:rsid w:val="00577920"/>
    <w:rsid w:val="00582193"/>
    <w:rsid w:val="00582692"/>
    <w:rsid w:val="005836FA"/>
    <w:rsid w:val="0058398F"/>
    <w:rsid w:val="0058475E"/>
    <w:rsid w:val="00584840"/>
    <w:rsid w:val="00585C4C"/>
    <w:rsid w:val="0058765E"/>
    <w:rsid w:val="0058788E"/>
    <w:rsid w:val="005879B0"/>
    <w:rsid w:val="00590A38"/>
    <w:rsid w:val="005920B1"/>
    <w:rsid w:val="00595874"/>
    <w:rsid w:val="00595E70"/>
    <w:rsid w:val="005978E4"/>
    <w:rsid w:val="005A3583"/>
    <w:rsid w:val="005A4D92"/>
    <w:rsid w:val="005A5338"/>
    <w:rsid w:val="005A737E"/>
    <w:rsid w:val="005B1781"/>
    <w:rsid w:val="005B4926"/>
    <w:rsid w:val="005B7EA9"/>
    <w:rsid w:val="005C2E01"/>
    <w:rsid w:val="005C67A9"/>
    <w:rsid w:val="005C799A"/>
    <w:rsid w:val="005D07D2"/>
    <w:rsid w:val="005D0A16"/>
    <w:rsid w:val="005D1E7E"/>
    <w:rsid w:val="005D3C2E"/>
    <w:rsid w:val="005D53F1"/>
    <w:rsid w:val="005D544F"/>
    <w:rsid w:val="005D79CB"/>
    <w:rsid w:val="005E006E"/>
    <w:rsid w:val="005E1DEB"/>
    <w:rsid w:val="005E20A5"/>
    <w:rsid w:val="005E337F"/>
    <w:rsid w:val="005E5385"/>
    <w:rsid w:val="005F0891"/>
    <w:rsid w:val="005F1BED"/>
    <w:rsid w:val="005F2E82"/>
    <w:rsid w:val="005F44C6"/>
    <w:rsid w:val="005F5BD9"/>
    <w:rsid w:val="006028D6"/>
    <w:rsid w:val="00604009"/>
    <w:rsid w:val="00607B0C"/>
    <w:rsid w:val="00611FA9"/>
    <w:rsid w:val="00614F86"/>
    <w:rsid w:val="00617CF8"/>
    <w:rsid w:val="00620374"/>
    <w:rsid w:val="0062089C"/>
    <w:rsid w:val="00621142"/>
    <w:rsid w:val="00627CC9"/>
    <w:rsid w:val="00636FE6"/>
    <w:rsid w:val="00641005"/>
    <w:rsid w:val="006521B6"/>
    <w:rsid w:val="00655687"/>
    <w:rsid w:val="00657D48"/>
    <w:rsid w:val="00660594"/>
    <w:rsid w:val="00660CF7"/>
    <w:rsid w:val="00661949"/>
    <w:rsid w:val="00662357"/>
    <w:rsid w:val="006649CB"/>
    <w:rsid w:val="006655E0"/>
    <w:rsid w:val="00665E8D"/>
    <w:rsid w:val="00672470"/>
    <w:rsid w:val="00672615"/>
    <w:rsid w:val="00673F04"/>
    <w:rsid w:val="00677AE1"/>
    <w:rsid w:val="006807F9"/>
    <w:rsid w:val="00680EBA"/>
    <w:rsid w:val="00681313"/>
    <w:rsid w:val="00681561"/>
    <w:rsid w:val="006849D7"/>
    <w:rsid w:val="00691605"/>
    <w:rsid w:val="00693F51"/>
    <w:rsid w:val="006972D2"/>
    <w:rsid w:val="00697C96"/>
    <w:rsid w:val="006A1187"/>
    <w:rsid w:val="006A258D"/>
    <w:rsid w:val="006A2644"/>
    <w:rsid w:val="006A40BE"/>
    <w:rsid w:val="006B4CB7"/>
    <w:rsid w:val="006B7F27"/>
    <w:rsid w:val="006C2DA6"/>
    <w:rsid w:val="006C53FC"/>
    <w:rsid w:val="006C6723"/>
    <w:rsid w:val="006C6AB5"/>
    <w:rsid w:val="006C75C3"/>
    <w:rsid w:val="006D1970"/>
    <w:rsid w:val="006D4EB1"/>
    <w:rsid w:val="006D766E"/>
    <w:rsid w:val="006E0E47"/>
    <w:rsid w:val="006E1F0E"/>
    <w:rsid w:val="006E2A0C"/>
    <w:rsid w:val="006E2E6F"/>
    <w:rsid w:val="006E4F89"/>
    <w:rsid w:val="006E723E"/>
    <w:rsid w:val="006E7D37"/>
    <w:rsid w:val="006F0C31"/>
    <w:rsid w:val="006F1ABE"/>
    <w:rsid w:val="006F4558"/>
    <w:rsid w:val="006F72F9"/>
    <w:rsid w:val="006F797D"/>
    <w:rsid w:val="00701100"/>
    <w:rsid w:val="00701211"/>
    <w:rsid w:val="0070346F"/>
    <w:rsid w:val="00705323"/>
    <w:rsid w:val="00705911"/>
    <w:rsid w:val="007071BB"/>
    <w:rsid w:val="00711CA7"/>
    <w:rsid w:val="0071213F"/>
    <w:rsid w:val="007125CD"/>
    <w:rsid w:val="007125FB"/>
    <w:rsid w:val="007138BB"/>
    <w:rsid w:val="00714701"/>
    <w:rsid w:val="00715411"/>
    <w:rsid w:val="00716116"/>
    <w:rsid w:val="0071632B"/>
    <w:rsid w:val="00720C0B"/>
    <w:rsid w:val="0072188B"/>
    <w:rsid w:val="0072346C"/>
    <w:rsid w:val="00723EC0"/>
    <w:rsid w:val="00723F89"/>
    <w:rsid w:val="00723FEC"/>
    <w:rsid w:val="007259AA"/>
    <w:rsid w:val="00733BC1"/>
    <w:rsid w:val="00734FA6"/>
    <w:rsid w:val="00735F45"/>
    <w:rsid w:val="00741140"/>
    <w:rsid w:val="0075156B"/>
    <w:rsid w:val="007524DE"/>
    <w:rsid w:val="00752720"/>
    <w:rsid w:val="00756F44"/>
    <w:rsid w:val="007610BF"/>
    <w:rsid w:val="00761916"/>
    <w:rsid w:val="0076575F"/>
    <w:rsid w:val="00765BF9"/>
    <w:rsid w:val="007679E9"/>
    <w:rsid w:val="00770479"/>
    <w:rsid w:val="00770533"/>
    <w:rsid w:val="00772B94"/>
    <w:rsid w:val="0077619B"/>
    <w:rsid w:val="00776AA3"/>
    <w:rsid w:val="00785213"/>
    <w:rsid w:val="00790486"/>
    <w:rsid w:val="00791C43"/>
    <w:rsid w:val="00791D6F"/>
    <w:rsid w:val="00794BCF"/>
    <w:rsid w:val="00795DCC"/>
    <w:rsid w:val="0079648D"/>
    <w:rsid w:val="0079788C"/>
    <w:rsid w:val="007A4582"/>
    <w:rsid w:val="007A4B38"/>
    <w:rsid w:val="007B1A92"/>
    <w:rsid w:val="007B1EF8"/>
    <w:rsid w:val="007B1FE8"/>
    <w:rsid w:val="007B427E"/>
    <w:rsid w:val="007B77CA"/>
    <w:rsid w:val="007C181D"/>
    <w:rsid w:val="007C59F0"/>
    <w:rsid w:val="007C6506"/>
    <w:rsid w:val="007D018D"/>
    <w:rsid w:val="007D0798"/>
    <w:rsid w:val="007D0D62"/>
    <w:rsid w:val="007D10F7"/>
    <w:rsid w:val="007D1831"/>
    <w:rsid w:val="007D7F30"/>
    <w:rsid w:val="007E02D8"/>
    <w:rsid w:val="007E0E5B"/>
    <w:rsid w:val="007E3674"/>
    <w:rsid w:val="007E3CF8"/>
    <w:rsid w:val="007E49B4"/>
    <w:rsid w:val="007E4B9A"/>
    <w:rsid w:val="007E4E79"/>
    <w:rsid w:val="007E6599"/>
    <w:rsid w:val="007E67BB"/>
    <w:rsid w:val="007E6A42"/>
    <w:rsid w:val="007F26E2"/>
    <w:rsid w:val="007F3ED2"/>
    <w:rsid w:val="007F4A61"/>
    <w:rsid w:val="007F4BD8"/>
    <w:rsid w:val="007F5AD5"/>
    <w:rsid w:val="007F687A"/>
    <w:rsid w:val="007F7A69"/>
    <w:rsid w:val="007F7D94"/>
    <w:rsid w:val="00800194"/>
    <w:rsid w:val="0080511C"/>
    <w:rsid w:val="00811A7E"/>
    <w:rsid w:val="0081263F"/>
    <w:rsid w:val="008152C3"/>
    <w:rsid w:val="008162D5"/>
    <w:rsid w:val="00817C33"/>
    <w:rsid w:val="008216A1"/>
    <w:rsid w:val="008235E9"/>
    <w:rsid w:val="00826D3E"/>
    <w:rsid w:val="00826D59"/>
    <w:rsid w:val="00832092"/>
    <w:rsid w:val="00833398"/>
    <w:rsid w:val="00835BBA"/>
    <w:rsid w:val="008421C8"/>
    <w:rsid w:val="00842840"/>
    <w:rsid w:val="008437CB"/>
    <w:rsid w:val="00844770"/>
    <w:rsid w:val="00844AA7"/>
    <w:rsid w:val="00844BF2"/>
    <w:rsid w:val="00844C81"/>
    <w:rsid w:val="0084564A"/>
    <w:rsid w:val="00847CAA"/>
    <w:rsid w:val="00851CFB"/>
    <w:rsid w:val="0085509B"/>
    <w:rsid w:val="008558FE"/>
    <w:rsid w:val="00855E47"/>
    <w:rsid w:val="00860BA7"/>
    <w:rsid w:val="008625E1"/>
    <w:rsid w:val="00864B0D"/>
    <w:rsid w:val="00864D79"/>
    <w:rsid w:val="00865D14"/>
    <w:rsid w:val="00870210"/>
    <w:rsid w:val="008723CB"/>
    <w:rsid w:val="00874369"/>
    <w:rsid w:val="00874736"/>
    <w:rsid w:val="00874E57"/>
    <w:rsid w:val="00874E8E"/>
    <w:rsid w:val="0087544B"/>
    <w:rsid w:val="00877731"/>
    <w:rsid w:val="00877EE4"/>
    <w:rsid w:val="0088049D"/>
    <w:rsid w:val="00882604"/>
    <w:rsid w:val="008831B0"/>
    <w:rsid w:val="00884CF3"/>
    <w:rsid w:val="008874B4"/>
    <w:rsid w:val="00895D61"/>
    <w:rsid w:val="008A007B"/>
    <w:rsid w:val="008A2455"/>
    <w:rsid w:val="008A3CC9"/>
    <w:rsid w:val="008A68B6"/>
    <w:rsid w:val="008A7624"/>
    <w:rsid w:val="008B1E60"/>
    <w:rsid w:val="008B1EBF"/>
    <w:rsid w:val="008B22EB"/>
    <w:rsid w:val="008B3F54"/>
    <w:rsid w:val="008B4174"/>
    <w:rsid w:val="008B45AF"/>
    <w:rsid w:val="008B45E2"/>
    <w:rsid w:val="008B4619"/>
    <w:rsid w:val="008B463F"/>
    <w:rsid w:val="008B605F"/>
    <w:rsid w:val="008B697A"/>
    <w:rsid w:val="008C49A9"/>
    <w:rsid w:val="008C63FB"/>
    <w:rsid w:val="008D03FE"/>
    <w:rsid w:val="008D2B37"/>
    <w:rsid w:val="008D2D74"/>
    <w:rsid w:val="008D43A6"/>
    <w:rsid w:val="008D7DF4"/>
    <w:rsid w:val="008F3834"/>
    <w:rsid w:val="008F4DC4"/>
    <w:rsid w:val="008F5D51"/>
    <w:rsid w:val="008F6C71"/>
    <w:rsid w:val="00900684"/>
    <w:rsid w:val="009043DF"/>
    <w:rsid w:val="009047C3"/>
    <w:rsid w:val="00904A7F"/>
    <w:rsid w:val="00910AAA"/>
    <w:rsid w:val="00910E58"/>
    <w:rsid w:val="00911CCA"/>
    <w:rsid w:val="0091373F"/>
    <w:rsid w:val="0091469E"/>
    <w:rsid w:val="0091677A"/>
    <w:rsid w:val="00920AD8"/>
    <w:rsid w:val="0092339E"/>
    <w:rsid w:val="009234A6"/>
    <w:rsid w:val="00927B96"/>
    <w:rsid w:val="00930C6A"/>
    <w:rsid w:val="00932C5F"/>
    <w:rsid w:val="00935777"/>
    <w:rsid w:val="00935FF5"/>
    <w:rsid w:val="00936FDF"/>
    <w:rsid w:val="0093758B"/>
    <w:rsid w:val="00937654"/>
    <w:rsid w:val="009377CC"/>
    <w:rsid w:val="00940E83"/>
    <w:rsid w:val="009433AB"/>
    <w:rsid w:val="00945665"/>
    <w:rsid w:val="00946365"/>
    <w:rsid w:val="009465C9"/>
    <w:rsid w:val="00947196"/>
    <w:rsid w:val="00951E85"/>
    <w:rsid w:val="00952A10"/>
    <w:rsid w:val="00954AAC"/>
    <w:rsid w:val="00956EED"/>
    <w:rsid w:val="00956F02"/>
    <w:rsid w:val="0096349C"/>
    <w:rsid w:val="0096436B"/>
    <w:rsid w:val="00964C87"/>
    <w:rsid w:val="00965959"/>
    <w:rsid w:val="009663F7"/>
    <w:rsid w:val="0097494D"/>
    <w:rsid w:val="00975952"/>
    <w:rsid w:val="009776EA"/>
    <w:rsid w:val="00981C58"/>
    <w:rsid w:val="00985594"/>
    <w:rsid w:val="009868AD"/>
    <w:rsid w:val="009907BD"/>
    <w:rsid w:val="00993164"/>
    <w:rsid w:val="00993C42"/>
    <w:rsid w:val="009972FB"/>
    <w:rsid w:val="00997E0C"/>
    <w:rsid w:val="009A73D3"/>
    <w:rsid w:val="009B19BA"/>
    <w:rsid w:val="009B7CA1"/>
    <w:rsid w:val="009C0EC2"/>
    <w:rsid w:val="009C4DA6"/>
    <w:rsid w:val="009D1C37"/>
    <w:rsid w:val="009D5C18"/>
    <w:rsid w:val="009D6EE6"/>
    <w:rsid w:val="009E4512"/>
    <w:rsid w:val="009E5865"/>
    <w:rsid w:val="009E718D"/>
    <w:rsid w:val="009F3AB3"/>
    <w:rsid w:val="009F4F1C"/>
    <w:rsid w:val="009F5619"/>
    <w:rsid w:val="009F6D6F"/>
    <w:rsid w:val="00A00507"/>
    <w:rsid w:val="00A00DB2"/>
    <w:rsid w:val="00A01D6F"/>
    <w:rsid w:val="00A01E90"/>
    <w:rsid w:val="00A02C95"/>
    <w:rsid w:val="00A0444D"/>
    <w:rsid w:val="00A05885"/>
    <w:rsid w:val="00A067AE"/>
    <w:rsid w:val="00A1016F"/>
    <w:rsid w:val="00A12F8B"/>
    <w:rsid w:val="00A17646"/>
    <w:rsid w:val="00A21013"/>
    <w:rsid w:val="00A234F0"/>
    <w:rsid w:val="00A2550F"/>
    <w:rsid w:val="00A25BD6"/>
    <w:rsid w:val="00A27385"/>
    <w:rsid w:val="00A274ED"/>
    <w:rsid w:val="00A30752"/>
    <w:rsid w:val="00A32606"/>
    <w:rsid w:val="00A36D0D"/>
    <w:rsid w:val="00A36D3F"/>
    <w:rsid w:val="00A42C39"/>
    <w:rsid w:val="00A500DE"/>
    <w:rsid w:val="00A5159F"/>
    <w:rsid w:val="00A51B64"/>
    <w:rsid w:val="00A524D2"/>
    <w:rsid w:val="00A53ECF"/>
    <w:rsid w:val="00A54DFD"/>
    <w:rsid w:val="00A56E69"/>
    <w:rsid w:val="00A57295"/>
    <w:rsid w:val="00A6052B"/>
    <w:rsid w:val="00A6091A"/>
    <w:rsid w:val="00A6247D"/>
    <w:rsid w:val="00A64F98"/>
    <w:rsid w:val="00A6540F"/>
    <w:rsid w:val="00A65ADE"/>
    <w:rsid w:val="00A671A4"/>
    <w:rsid w:val="00A67A19"/>
    <w:rsid w:val="00A712D8"/>
    <w:rsid w:val="00A71D23"/>
    <w:rsid w:val="00A722DB"/>
    <w:rsid w:val="00A779CD"/>
    <w:rsid w:val="00A813D5"/>
    <w:rsid w:val="00A823BC"/>
    <w:rsid w:val="00A876A8"/>
    <w:rsid w:val="00A87B10"/>
    <w:rsid w:val="00A9256E"/>
    <w:rsid w:val="00A92991"/>
    <w:rsid w:val="00A956F0"/>
    <w:rsid w:val="00A96E5C"/>
    <w:rsid w:val="00AA4D8B"/>
    <w:rsid w:val="00AA51A8"/>
    <w:rsid w:val="00AA7B3B"/>
    <w:rsid w:val="00AB08BD"/>
    <w:rsid w:val="00AB11A0"/>
    <w:rsid w:val="00AB2F0C"/>
    <w:rsid w:val="00AB719F"/>
    <w:rsid w:val="00AB76D2"/>
    <w:rsid w:val="00AC0DD2"/>
    <w:rsid w:val="00AC1A0D"/>
    <w:rsid w:val="00AC243F"/>
    <w:rsid w:val="00AC317F"/>
    <w:rsid w:val="00AC33EA"/>
    <w:rsid w:val="00AC41F4"/>
    <w:rsid w:val="00AC4FF0"/>
    <w:rsid w:val="00AD0700"/>
    <w:rsid w:val="00AD3850"/>
    <w:rsid w:val="00AD4CED"/>
    <w:rsid w:val="00AE25BE"/>
    <w:rsid w:val="00AE390C"/>
    <w:rsid w:val="00AE3A4C"/>
    <w:rsid w:val="00AE6202"/>
    <w:rsid w:val="00AF1389"/>
    <w:rsid w:val="00AF27A6"/>
    <w:rsid w:val="00AF36FC"/>
    <w:rsid w:val="00AF38E0"/>
    <w:rsid w:val="00AF64D8"/>
    <w:rsid w:val="00AF7B39"/>
    <w:rsid w:val="00B0026C"/>
    <w:rsid w:val="00B0249F"/>
    <w:rsid w:val="00B033F8"/>
    <w:rsid w:val="00B042DE"/>
    <w:rsid w:val="00B10BB6"/>
    <w:rsid w:val="00B11C19"/>
    <w:rsid w:val="00B13850"/>
    <w:rsid w:val="00B14741"/>
    <w:rsid w:val="00B15512"/>
    <w:rsid w:val="00B155E6"/>
    <w:rsid w:val="00B15FFE"/>
    <w:rsid w:val="00B17AB3"/>
    <w:rsid w:val="00B31038"/>
    <w:rsid w:val="00B31CF8"/>
    <w:rsid w:val="00B330CA"/>
    <w:rsid w:val="00B34401"/>
    <w:rsid w:val="00B34F27"/>
    <w:rsid w:val="00B35514"/>
    <w:rsid w:val="00B36268"/>
    <w:rsid w:val="00B367B1"/>
    <w:rsid w:val="00B408B1"/>
    <w:rsid w:val="00B411E7"/>
    <w:rsid w:val="00B42739"/>
    <w:rsid w:val="00B42B03"/>
    <w:rsid w:val="00B47B8F"/>
    <w:rsid w:val="00B506E7"/>
    <w:rsid w:val="00B52842"/>
    <w:rsid w:val="00B60DBB"/>
    <w:rsid w:val="00B611A3"/>
    <w:rsid w:val="00B615B3"/>
    <w:rsid w:val="00B61FF0"/>
    <w:rsid w:val="00B67126"/>
    <w:rsid w:val="00B72BB6"/>
    <w:rsid w:val="00B74393"/>
    <w:rsid w:val="00B746E2"/>
    <w:rsid w:val="00B747D2"/>
    <w:rsid w:val="00B80B49"/>
    <w:rsid w:val="00B80F0C"/>
    <w:rsid w:val="00B85D42"/>
    <w:rsid w:val="00B91366"/>
    <w:rsid w:val="00B9592E"/>
    <w:rsid w:val="00B95E75"/>
    <w:rsid w:val="00B96B73"/>
    <w:rsid w:val="00BA06CD"/>
    <w:rsid w:val="00BA08B3"/>
    <w:rsid w:val="00BA08BE"/>
    <w:rsid w:val="00BA1DED"/>
    <w:rsid w:val="00BB0575"/>
    <w:rsid w:val="00BB0E5B"/>
    <w:rsid w:val="00BB158A"/>
    <w:rsid w:val="00BB25BA"/>
    <w:rsid w:val="00BB2FF1"/>
    <w:rsid w:val="00BB67B7"/>
    <w:rsid w:val="00BC0A01"/>
    <w:rsid w:val="00BC3426"/>
    <w:rsid w:val="00BC3D38"/>
    <w:rsid w:val="00BC485D"/>
    <w:rsid w:val="00BC51E4"/>
    <w:rsid w:val="00BC7DF5"/>
    <w:rsid w:val="00BD1970"/>
    <w:rsid w:val="00BD1FAA"/>
    <w:rsid w:val="00BD329C"/>
    <w:rsid w:val="00BD4BBB"/>
    <w:rsid w:val="00BD4E43"/>
    <w:rsid w:val="00BD5FAD"/>
    <w:rsid w:val="00BE1979"/>
    <w:rsid w:val="00BE19F4"/>
    <w:rsid w:val="00BE26E9"/>
    <w:rsid w:val="00BE4147"/>
    <w:rsid w:val="00BE75C8"/>
    <w:rsid w:val="00BF12A5"/>
    <w:rsid w:val="00BF1B2A"/>
    <w:rsid w:val="00BF1F95"/>
    <w:rsid w:val="00BF2DB5"/>
    <w:rsid w:val="00BF34BE"/>
    <w:rsid w:val="00BF39D3"/>
    <w:rsid w:val="00BF4932"/>
    <w:rsid w:val="00BF6071"/>
    <w:rsid w:val="00BF712A"/>
    <w:rsid w:val="00C0268B"/>
    <w:rsid w:val="00C058AB"/>
    <w:rsid w:val="00C07411"/>
    <w:rsid w:val="00C07D67"/>
    <w:rsid w:val="00C10742"/>
    <w:rsid w:val="00C122DD"/>
    <w:rsid w:val="00C1279F"/>
    <w:rsid w:val="00C14BED"/>
    <w:rsid w:val="00C159E2"/>
    <w:rsid w:val="00C15E5C"/>
    <w:rsid w:val="00C16A65"/>
    <w:rsid w:val="00C16F7C"/>
    <w:rsid w:val="00C1738A"/>
    <w:rsid w:val="00C264C1"/>
    <w:rsid w:val="00C30AC0"/>
    <w:rsid w:val="00C31613"/>
    <w:rsid w:val="00C31946"/>
    <w:rsid w:val="00C329B7"/>
    <w:rsid w:val="00C34F2A"/>
    <w:rsid w:val="00C35B0F"/>
    <w:rsid w:val="00C37077"/>
    <w:rsid w:val="00C45B82"/>
    <w:rsid w:val="00C50D8B"/>
    <w:rsid w:val="00C50D98"/>
    <w:rsid w:val="00C52CBD"/>
    <w:rsid w:val="00C52D8C"/>
    <w:rsid w:val="00C53874"/>
    <w:rsid w:val="00C56AA3"/>
    <w:rsid w:val="00C56DC2"/>
    <w:rsid w:val="00C606E5"/>
    <w:rsid w:val="00C66059"/>
    <w:rsid w:val="00C66641"/>
    <w:rsid w:val="00C66F2E"/>
    <w:rsid w:val="00C6760B"/>
    <w:rsid w:val="00C72D2E"/>
    <w:rsid w:val="00C74466"/>
    <w:rsid w:val="00C74B0A"/>
    <w:rsid w:val="00C758DC"/>
    <w:rsid w:val="00C75B98"/>
    <w:rsid w:val="00C75CA9"/>
    <w:rsid w:val="00C80395"/>
    <w:rsid w:val="00C80D82"/>
    <w:rsid w:val="00C83DDC"/>
    <w:rsid w:val="00C859DC"/>
    <w:rsid w:val="00C86A62"/>
    <w:rsid w:val="00C86C8A"/>
    <w:rsid w:val="00C8738C"/>
    <w:rsid w:val="00C91CCF"/>
    <w:rsid w:val="00C92A20"/>
    <w:rsid w:val="00C93882"/>
    <w:rsid w:val="00C97831"/>
    <w:rsid w:val="00CA09E4"/>
    <w:rsid w:val="00CA2214"/>
    <w:rsid w:val="00CA4353"/>
    <w:rsid w:val="00CA5F19"/>
    <w:rsid w:val="00CA71C3"/>
    <w:rsid w:val="00CA753E"/>
    <w:rsid w:val="00CB0D8C"/>
    <w:rsid w:val="00CB1A82"/>
    <w:rsid w:val="00CB1CD3"/>
    <w:rsid w:val="00CB1F8B"/>
    <w:rsid w:val="00CB33AC"/>
    <w:rsid w:val="00CB489E"/>
    <w:rsid w:val="00CB64E0"/>
    <w:rsid w:val="00CB775E"/>
    <w:rsid w:val="00CB7ABE"/>
    <w:rsid w:val="00CC3729"/>
    <w:rsid w:val="00CC4F6F"/>
    <w:rsid w:val="00CC69B8"/>
    <w:rsid w:val="00CD116E"/>
    <w:rsid w:val="00CD4FFF"/>
    <w:rsid w:val="00CD5E42"/>
    <w:rsid w:val="00CD66E3"/>
    <w:rsid w:val="00CD75E6"/>
    <w:rsid w:val="00CE2516"/>
    <w:rsid w:val="00CE2581"/>
    <w:rsid w:val="00CE697B"/>
    <w:rsid w:val="00CE7990"/>
    <w:rsid w:val="00CF1D4A"/>
    <w:rsid w:val="00CF20D5"/>
    <w:rsid w:val="00CF240B"/>
    <w:rsid w:val="00CF3185"/>
    <w:rsid w:val="00CF33B4"/>
    <w:rsid w:val="00CF3775"/>
    <w:rsid w:val="00CF3C49"/>
    <w:rsid w:val="00CF4072"/>
    <w:rsid w:val="00CF65FC"/>
    <w:rsid w:val="00D02A0E"/>
    <w:rsid w:val="00D0305F"/>
    <w:rsid w:val="00D04631"/>
    <w:rsid w:val="00D11211"/>
    <w:rsid w:val="00D12CB2"/>
    <w:rsid w:val="00D17F26"/>
    <w:rsid w:val="00D20D0B"/>
    <w:rsid w:val="00D21425"/>
    <w:rsid w:val="00D22B51"/>
    <w:rsid w:val="00D23C92"/>
    <w:rsid w:val="00D243C5"/>
    <w:rsid w:val="00D26A54"/>
    <w:rsid w:val="00D27D8D"/>
    <w:rsid w:val="00D322A1"/>
    <w:rsid w:val="00D32781"/>
    <w:rsid w:val="00D332C4"/>
    <w:rsid w:val="00D33455"/>
    <w:rsid w:val="00D353CE"/>
    <w:rsid w:val="00D369A6"/>
    <w:rsid w:val="00D36E4F"/>
    <w:rsid w:val="00D3712C"/>
    <w:rsid w:val="00D415BD"/>
    <w:rsid w:val="00D41F19"/>
    <w:rsid w:val="00D43097"/>
    <w:rsid w:val="00D43651"/>
    <w:rsid w:val="00D4442E"/>
    <w:rsid w:val="00D44C0B"/>
    <w:rsid w:val="00D47137"/>
    <w:rsid w:val="00D51347"/>
    <w:rsid w:val="00D611CB"/>
    <w:rsid w:val="00D64F22"/>
    <w:rsid w:val="00D678C3"/>
    <w:rsid w:val="00D703F0"/>
    <w:rsid w:val="00D73E6A"/>
    <w:rsid w:val="00D76504"/>
    <w:rsid w:val="00D912DA"/>
    <w:rsid w:val="00D91F24"/>
    <w:rsid w:val="00D93B8E"/>
    <w:rsid w:val="00D949B2"/>
    <w:rsid w:val="00D94F24"/>
    <w:rsid w:val="00D97E0F"/>
    <w:rsid w:val="00DA356D"/>
    <w:rsid w:val="00DA5075"/>
    <w:rsid w:val="00DA6436"/>
    <w:rsid w:val="00DB20B4"/>
    <w:rsid w:val="00DB2D4E"/>
    <w:rsid w:val="00DB4D42"/>
    <w:rsid w:val="00DB60BC"/>
    <w:rsid w:val="00DB7900"/>
    <w:rsid w:val="00DC0DA6"/>
    <w:rsid w:val="00DC13E8"/>
    <w:rsid w:val="00DC251D"/>
    <w:rsid w:val="00DC2FF6"/>
    <w:rsid w:val="00DC3D2A"/>
    <w:rsid w:val="00DC716C"/>
    <w:rsid w:val="00DC71EF"/>
    <w:rsid w:val="00DD2A20"/>
    <w:rsid w:val="00DD4328"/>
    <w:rsid w:val="00DE0702"/>
    <w:rsid w:val="00DE1FCB"/>
    <w:rsid w:val="00DE5337"/>
    <w:rsid w:val="00DE644D"/>
    <w:rsid w:val="00DE669E"/>
    <w:rsid w:val="00DF0B18"/>
    <w:rsid w:val="00DF103D"/>
    <w:rsid w:val="00DF1BB9"/>
    <w:rsid w:val="00DF2322"/>
    <w:rsid w:val="00E00C39"/>
    <w:rsid w:val="00E035D6"/>
    <w:rsid w:val="00E041F1"/>
    <w:rsid w:val="00E04ACF"/>
    <w:rsid w:val="00E0523B"/>
    <w:rsid w:val="00E136AD"/>
    <w:rsid w:val="00E13D01"/>
    <w:rsid w:val="00E13E03"/>
    <w:rsid w:val="00E16090"/>
    <w:rsid w:val="00E17FE4"/>
    <w:rsid w:val="00E203BC"/>
    <w:rsid w:val="00E20F6B"/>
    <w:rsid w:val="00E25370"/>
    <w:rsid w:val="00E27729"/>
    <w:rsid w:val="00E31D63"/>
    <w:rsid w:val="00E343A7"/>
    <w:rsid w:val="00E3542A"/>
    <w:rsid w:val="00E36C4C"/>
    <w:rsid w:val="00E36DB6"/>
    <w:rsid w:val="00E41B8C"/>
    <w:rsid w:val="00E42D8C"/>
    <w:rsid w:val="00E44773"/>
    <w:rsid w:val="00E45505"/>
    <w:rsid w:val="00E46EF6"/>
    <w:rsid w:val="00E50A73"/>
    <w:rsid w:val="00E51BDE"/>
    <w:rsid w:val="00E54AC3"/>
    <w:rsid w:val="00E558F0"/>
    <w:rsid w:val="00E572F2"/>
    <w:rsid w:val="00E70473"/>
    <w:rsid w:val="00E70DB4"/>
    <w:rsid w:val="00E71043"/>
    <w:rsid w:val="00E72133"/>
    <w:rsid w:val="00E72DF8"/>
    <w:rsid w:val="00E75933"/>
    <w:rsid w:val="00E75CFA"/>
    <w:rsid w:val="00E77227"/>
    <w:rsid w:val="00E83809"/>
    <w:rsid w:val="00E86E3F"/>
    <w:rsid w:val="00E875B1"/>
    <w:rsid w:val="00E93ECD"/>
    <w:rsid w:val="00E95F71"/>
    <w:rsid w:val="00E97EF8"/>
    <w:rsid w:val="00EA4117"/>
    <w:rsid w:val="00EA7FF4"/>
    <w:rsid w:val="00EB2473"/>
    <w:rsid w:val="00EB3BBE"/>
    <w:rsid w:val="00EB4707"/>
    <w:rsid w:val="00EB6121"/>
    <w:rsid w:val="00EB771E"/>
    <w:rsid w:val="00EC2488"/>
    <w:rsid w:val="00EC61F3"/>
    <w:rsid w:val="00EC64C0"/>
    <w:rsid w:val="00ED48E0"/>
    <w:rsid w:val="00ED5917"/>
    <w:rsid w:val="00EE115D"/>
    <w:rsid w:val="00EE38C8"/>
    <w:rsid w:val="00EE4BB0"/>
    <w:rsid w:val="00EE5010"/>
    <w:rsid w:val="00EE61A3"/>
    <w:rsid w:val="00EE6BFA"/>
    <w:rsid w:val="00EE72C4"/>
    <w:rsid w:val="00EE7408"/>
    <w:rsid w:val="00EE7791"/>
    <w:rsid w:val="00EF0D80"/>
    <w:rsid w:val="00EF1805"/>
    <w:rsid w:val="00EF3274"/>
    <w:rsid w:val="00EF3A5B"/>
    <w:rsid w:val="00EF3D0C"/>
    <w:rsid w:val="00EF5CA3"/>
    <w:rsid w:val="00EF79B2"/>
    <w:rsid w:val="00F00A73"/>
    <w:rsid w:val="00F03542"/>
    <w:rsid w:val="00F05C98"/>
    <w:rsid w:val="00F06B42"/>
    <w:rsid w:val="00F11F95"/>
    <w:rsid w:val="00F14690"/>
    <w:rsid w:val="00F213AE"/>
    <w:rsid w:val="00F2515C"/>
    <w:rsid w:val="00F26EDF"/>
    <w:rsid w:val="00F2783B"/>
    <w:rsid w:val="00F319F8"/>
    <w:rsid w:val="00F31AEA"/>
    <w:rsid w:val="00F34BB4"/>
    <w:rsid w:val="00F36214"/>
    <w:rsid w:val="00F36D5F"/>
    <w:rsid w:val="00F4312B"/>
    <w:rsid w:val="00F4342C"/>
    <w:rsid w:val="00F46B07"/>
    <w:rsid w:val="00F52203"/>
    <w:rsid w:val="00F53D53"/>
    <w:rsid w:val="00F54CD7"/>
    <w:rsid w:val="00F55742"/>
    <w:rsid w:val="00F5630C"/>
    <w:rsid w:val="00F57144"/>
    <w:rsid w:val="00F61CF5"/>
    <w:rsid w:val="00F6312C"/>
    <w:rsid w:val="00F63D72"/>
    <w:rsid w:val="00F652BB"/>
    <w:rsid w:val="00F72E93"/>
    <w:rsid w:val="00F7306D"/>
    <w:rsid w:val="00F82D98"/>
    <w:rsid w:val="00F83D6A"/>
    <w:rsid w:val="00F90914"/>
    <w:rsid w:val="00F90F77"/>
    <w:rsid w:val="00F92D69"/>
    <w:rsid w:val="00F93BA4"/>
    <w:rsid w:val="00FA04A1"/>
    <w:rsid w:val="00FA14FC"/>
    <w:rsid w:val="00FA2D1E"/>
    <w:rsid w:val="00FA57F7"/>
    <w:rsid w:val="00FA64F7"/>
    <w:rsid w:val="00FA7B36"/>
    <w:rsid w:val="00FB5B36"/>
    <w:rsid w:val="00FC00FD"/>
    <w:rsid w:val="00FC0351"/>
    <w:rsid w:val="00FC0D62"/>
    <w:rsid w:val="00FC149E"/>
    <w:rsid w:val="00FC6AA2"/>
    <w:rsid w:val="00FC7923"/>
    <w:rsid w:val="00FD52DA"/>
    <w:rsid w:val="00FE194C"/>
    <w:rsid w:val="00FE5526"/>
    <w:rsid w:val="00FF2ABF"/>
    <w:rsid w:val="00FF2FE2"/>
    <w:rsid w:val="00FF31FB"/>
    <w:rsid w:val="00FF3AE5"/>
    <w:rsid w:val="04CD5F69"/>
    <w:rsid w:val="10C5247C"/>
    <w:rsid w:val="1F2D7B6A"/>
    <w:rsid w:val="227B299A"/>
    <w:rsid w:val="32165B0E"/>
    <w:rsid w:val="3B457B92"/>
    <w:rsid w:val="417E5BAB"/>
    <w:rsid w:val="51FD3CE8"/>
    <w:rsid w:val="5AE623A0"/>
    <w:rsid w:val="5D506684"/>
    <w:rsid w:val="65AF6767"/>
    <w:rsid w:val="6A3E1BC6"/>
    <w:rsid w:val="6C054650"/>
    <w:rsid w:val="6C0A05AE"/>
    <w:rsid w:val="6D057721"/>
    <w:rsid w:val="74BF33C5"/>
    <w:rsid w:val="772646B8"/>
    <w:rsid w:val="791B2AC5"/>
    <w:rsid w:val="79A04789"/>
    <w:rsid w:val="7F8654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unhideWhenUsed/>
    <w:uiPriority w:val="1"/>
  </w:style>
  <w:style w:type="table" w:default="1" w:styleId="17">
    <w:name w:val="Normal Table"/>
    <w:unhideWhenUsed/>
    <w:qFormat/>
    <w:uiPriority w:val="99"/>
    <w:tblPr>
      <w:tblStyle w:val="17"/>
      <w:tblCellMar>
        <w:top w:w="0" w:type="dxa"/>
        <w:left w:w="108" w:type="dxa"/>
        <w:bottom w:w="0" w:type="dxa"/>
        <w:right w:w="108" w:type="dxa"/>
      </w:tblCellMar>
    </w:tblPr>
  </w:style>
  <w:style w:type="paragraph" w:styleId="6">
    <w:name w:val="Document Map"/>
    <w:basedOn w:val="1"/>
    <w:link w:val="27"/>
    <w:unhideWhenUsed/>
    <w:uiPriority w:val="99"/>
    <w:rPr>
      <w:rFonts w:ascii="宋体"/>
      <w:sz w:val="18"/>
      <w:szCs w:val="18"/>
    </w:rPr>
  </w:style>
  <w:style w:type="paragraph" w:styleId="7">
    <w:name w:val="annotation text"/>
    <w:basedOn w:val="1"/>
    <w:semiHidden/>
    <w:uiPriority w:val="0"/>
    <w:pPr>
      <w:jc w:val="left"/>
    </w:pPr>
  </w:style>
  <w:style w:type="paragraph" w:styleId="8">
    <w:name w:val="toc 3"/>
    <w:basedOn w:val="1"/>
    <w:next w:val="1"/>
    <w:unhideWhenUsed/>
    <w:uiPriority w:val="39"/>
    <w:pPr>
      <w:tabs>
        <w:tab w:val="right" w:leader="dot" w:pos="8680"/>
      </w:tabs>
      <w:ind w:left="706" w:leftChars="270" w:hanging="139" w:hangingChars="58"/>
    </w:pPr>
  </w:style>
  <w:style w:type="paragraph" w:styleId="9">
    <w:name w:val="Date"/>
    <w:basedOn w:val="1"/>
    <w:next w:val="1"/>
    <w:uiPriority w:val="0"/>
    <w:pPr>
      <w:ind w:left="100" w:leftChars="2500"/>
    </w:pPr>
  </w:style>
  <w:style w:type="paragraph" w:styleId="10">
    <w:name w:val="Balloon Text"/>
    <w:basedOn w:val="1"/>
    <w:semiHidden/>
    <w:uiPriority w:val="0"/>
    <w:rPr>
      <w:sz w:val="18"/>
      <w:szCs w:val="18"/>
    </w:rPr>
  </w:style>
  <w:style w:type="paragraph" w:styleId="11">
    <w:name w:val="footer"/>
    <w:basedOn w:val="1"/>
    <w:link w:val="28"/>
    <w:unhideWhenUsed/>
    <w:uiPriority w:val="99"/>
    <w:pPr>
      <w:tabs>
        <w:tab w:val="center" w:pos="4153"/>
        <w:tab w:val="right" w:pos="8306"/>
      </w:tabs>
      <w:snapToGrid w:val="0"/>
      <w:jc w:val="left"/>
    </w:pPr>
    <w:rPr>
      <w:sz w:val="18"/>
      <w:szCs w:val="18"/>
    </w:rPr>
  </w:style>
  <w:style w:type="paragraph" w:styleId="12">
    <w:name w:val="header"/>
    <w:basedOn w:val="1"/>
    <w:link w:val="29"/>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pPr>
      <w:tabs>
        <w:tab w:val="right" w:leader="dot" w:pos="8680"/>
      </w:tabs>
      <w:adjustRightInd w:val="0"/>
      <w:snapToGrid w:val="0"/>
      <w:spacing w:line="360" w:lineRule="auto"/>
      <w:jc w:val="center"/>
    </w:pPr>
  </w:style>
  <w:style w:type="paragraph" w:styleId="14">
    <w:name w:val="toc 4"/>
    <w:basedOn w:val="1"/>
    <w:next w:val="1"/>
    <w:unhideWhenUsed/>
    <w:uiPriority w:val="39"/>
    <w:pPr>
      <w:tabs>
        <w:tab w:val="right" w:leader="dot" w:pos="8680"/>
      </w:tabs>
      <w:spacing w:line="360" w:lineRule="auto"/>
      <w:ind w:left="141" w:leftChars="67" w:firstLine="408" w:firstLineChars="170"/>
    </w:pPr>
  </w:style>
  <w:style w:type="paragraph" w:styleId="15">
    <w:name w:val="toc 2"/>
    <w:basedOn w:val="1"/>
    <w:next w:val="1"/>
    <w:unhideWhenUsed/>
    <w:uiPriority w:val="39"/>
    <w:pPr>
      <w:ind w:left="420" w:leftChars="200"/>
    </w:pPr>
  </w:style>
  <w:style w:type="paragraph" w:styleId="16">
    <w:name w:val="annotation subject"/>
    <w:basedOn w:val="7"/>
    <w:next w:val="7"/>
    <w:semiHidden/>
    <w:uiPriority w:val="0"/>
    <w:rPr>
      <w:b/>
      <w:bCs/>
    </w:rPr>
  </w:style>
  <w:style w:type="table" w:styleId="18">
    <w:name w:val="Table Grid"/>
    <w:basedOn w:val="17"/>
    <w:uiPriority w:val="59"/>
    <w:tblPr>
      <w:tblStyle w:val="1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uiPriority w:val="0"/>
  </w:style>
  <w:style w:type="character" w:styleId="21">
    <w:name w:val="Hyperlink"/>
    <w:unhideWhenUsed/>
    <w:uiPriority w:val="99"/>
    <w:rPr>
      <w:color w:val="0000FF"/>
      <w:u w:val="single"/>
    </w:rPr>
  </w:style>
  <w:style w:type="character" w:styleId="22">
    <w:name w:val="annotation reference"/>
    <w:semiHidden/>
    <w:uiPriority w:val="0"/>
    <w:rPr>
      <w:sz w:val="21"/>
      <w:szCs w:val="21"/>
    </w:rPr>
  </w:style>
  <w:style w:type="character" w:customStyle="1" w:styleId="23">
    <w:name w:val="标题 1 字符"/>
    <w:link w:val="2"/>
    <w:uiPriority w:val="9"/>
    <w:rPr>
      <w:b/>
      <w:bCs/>
      <w:kern w:val="44"/>
      <w:sz w:val="44"/>
      <w:szCs w:val="44"/>
    </w:rPr>
  </w:style>
  <w:style w:type="character" w:customStyle="1" w:styleId="24">
    <w:name w:val="标题 2 字符"/>
    <w:link w:val="3"/>
    <w:uiPriority w:val="9"/>
    <w:rPr>
      <w:rFonts w:ascii="Cambria" w:hAnsi="Cambria" w:eastAsia="宋体" w:cs="Times New Roman"/>
      <w:b/>
      <w:bCs/>
      <w:sz w:val="32"/>
      <w:szCs w:val="32"/>
    </w:rPr>
  </w:style>
  <w:style w:type="character" w:customStyle="1" w:styleId="25">
    <w:name w:val="标题 3 字符"/>
    <w:link w:val="4"/>
    <w:uiPriority w:val="9"/>
    <w:rPr>
      <w:b/>
      <w:bCs/>
      <w:kern w:val="2"/>
      <w:sz w:val="32"/>
      <w:szCs w:val="32"/>
    </w:rPr>
  </w:style>
  <w:style w:type="character" w:customStyle="1" w:styleId="26">
    <w:name w:val="标题 4 字符"/>
    <w:link w:val="5"/>
    <w:uiPriority w:val="9"/>
    <w:rPr>
      <w:rFonts w:ascii="Cambria" w:hAnsi="Cambria" w:eastAsia="宋体" w:cs="Times New Roman"/>
      <w:b/>
      <w:bCs/>
      <w:kern w:val="2"/>
      <w:sz w:val="28"/>
      <w:szCs w:val="28"/>
    </w:rPr>
  </w:style>
  <w:style w:type="character" w:customStyle="1" w:styleId="27">
    <w:name w:val="文档结构图 字符"/>
    <w:link w:val="6"/>
    <w:semiHidden/>
    <w:uiPriority w:val="99"/>
    <w:rPr>
      <w:rFonts w:ascii="宋体"/>
      <w:kern w:val="2"/>
      <w:sz w:val="18"/>
      <w:szCs w:val="18"/>
    </w:rPr>
  </w:style>
  <w:style w:type="character" w:customStyle="1" w:styleId="28">
    <w:name w:val="页脚 字符"/>
    <w:link w:val="11"/>
    <w:uiPriority w:val="99"/>
    <w:rPr>
      <w:sz w:val="18"/>
      <w:szCs w:val="18"/>
    </w:rPr>
  </w:style>
  <w:style w:type="character" w:customStyle="1" w:styleId="29">
    <w:name w:val="页眉 字符"/>
    <w:link w:val="12"/>
    <w:uiPriority w:val="99"/>
    <w:rPr>
      <w:sz w:val="18"/>
      <w:szCs w:val="18"/>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759</Words>
  <Characters>4329</Characters>
  <Lines>36</Lines>
  <Paragraphs>10</Paragraphs>
  <TotalTime>0</TotalTime>
  <ScaleCrop>false</ScaleCrop>
  <LinksUpToDate>false</LinksUpToDate>
  <CharactersWithSpaces>5078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2022-03-03T07:03:00Z</dcterms:created>
  <dc:creator>番茄花园</dc:creator>
  <cp:lastModifiedBy>山</cp:lastModifiedBy>
  <cp:lastPrinted>2011-12-20T09:13:00Z</cp:lastPrinted>
  <dcterms:modified xsi:type="dcterms:W3CDTF">2022-03-08T06:53:26Z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2F3EB0167044490597056D41B9EF3B2C</vt:lpwstr>
  </property>
</Properties>
</file>